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E413B4" w:rsidRDefault="007743B7">
      <w:pPr>
        <w:rPr>
          <w:lang w:val="en-GB"/>
        </w:rPr>
      </w:pPr>
    </w:p>
    <w:p w14:paraId="0A68FAA4" w14:textId="77777777" w:rsidR="00F60464" w:rsidRPr="00E413B4"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7"/>
        <w:gridCol w:w="700"/>
      </w:tblGrid>
      <w:tr w:rsidR="00201506" w:rsidRPr="00E413B4" w14:paraId="6D619A3E" w14:textId="77777777" w:rsidTr="00C815C9">
        <w:trPr>
          <w:trHeight w:val="592"/>
        </w:trPr>
        <w:tc>
          <w:tcPr>
            <w:tcW w:w="702" w:type="dxa"/>
            <w:shd w:val="clear" w:color="auto" w:fill="auto"/>
            <w:vAlign w:val="center"/>
          </w:tcPr>
          <w:p w14:paraId="22690FFB" w14:textId="77777777" w:rsidR="00201506" w:rsidRPr="00E413B4"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E413B4"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E413B4" w:rsidRDefault="00201506" w:rsidP="00794499">
            <w:pPr>
              <w:jc w:val="center"/>
              <w:rPr>
                <w:rFonts w:asciiTheme="minorHAnsi" w:hAnsiTheme="minorHAnsi"/>
                <w:lang w:val="en-GB"/>
              </w:rPr>
            </w:pPr>
          </w:p>
        </w:tc>
      </w:tr>
      <w:tr w:rsidR="00201506" w:rsidRPr="00E413B4"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E413B4"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1E433928" w14:textId="53398238" w:rsidR="005F6900" w:rsidRPr="00E413B4" w:rsidRDefault="005F6900" w:rsidP="005F6900">
            <w:pPr>
              <w:jc w:val="center"/>
              <w:rPr>
                <w:rFonts w:asciiTheme="minorHAnsi" w:hAnsiTheme="minorHAnsi"/>
                <w:b/>
                <w:bCs/>
                <w:color w:val="FFFFFF" w:themeColor="background1"/>
                <w:sz w:val="40"/>
                <w:szCs w:val="40"/>
                <w:lang w:val="en-GB"/>
              </w:rPr>
            </w:pPr>
            <w:r w:rsidRPr="00E413B4">
              <w:rPr>
                <w:rFonts w:asciiTheme="minorHAnsi" w:hAnsiTheme="minorHAnsi"/>
                <w:b/>
                <w:bCs/>
                <w:color w:val="FFFFFF" w:themeColor="background1"/>
                <w:sz w:val="40"/>
                <w:szCs w:val="40"/>
                <w:lang w:val="en-GB"/>
              </w:rPr>
              <w:t>GREENING BUSINESS</w:t>
            </w:r>
          </w:p>
          <w:p w14:paraId="666ADA5D" w14:textId="77777777" w:rsidR="005F6900" w:rsidRPr="00E413B4" w:rsidRDefault="005F6900" w:rsidP="005F6900">
            <w:pPr>
              <w:jc w:val="center"/>
              <w:rPr>
                <w:rFonts w:asciiTheme="minorHAnsi" w:hAnsiTheme="minorHAnsi"/>
                <w:b/>
                <w:bCs/>
                <w:color w:val="FFFFFF" w:themeColor="background1"/>
                <w:sz w:val="40"/>
                <w:szCs w:val="40"/>
                <w:lang w:val="en-GB"/>
              </w:rPr>
            </w:pPr>
          </w:p>
          <w:p w14:paraId="154717B4" w14:textId="155FFB95" w:rsidR="00D02296" w:rsidRPr="00E413B4" w:rsidRDefault="005F6900" w:rsidP="005F6900">
            <w:pPr>
              <w:jc w:val="center"/>
              <w:rPr>
                <w:rFonts w:asciiTheme="minorHAnsi" w:hAnsiTheme="minorHAnsi"/>
                <w:b/>
                <w:bCs/>
                <w:color w:val="FFFFFF" w:themeColor="background1"/>
                <w:sz w:val="40"/>
                <w:szCs w:val="40"/>
                <w:lang w:val="en-GB"/>
              </w:rPr>
            </w:pPr>
            <w:r w:rsidRPr="00E413B4">
              <w:rPr>
                <w:rFonts w:asciiTheme="minorHAnsi" w:hAnsiTheme="minorHAnsi"/>
                <w:b/>
                <w:bCs/>
                <w:color w:val="FFFFFF" w:themeColor="background1"/>
                <w:sz w:val="40"/>
                <w:szCs w:val="40"/>
                <w:lang w:val="en-GB"/>
              </w:rPr>
              <w:t>GREEN FINANCING GUIDE - SERBIA</w:t>
            </w:r>
          </w:p>
        </w:tc>
        <w:tc>
          <w:tcPr>
            <w:tcW w:w="717" w:type="dxa"/>
            <w:tcBorders>
              <w:left w:val="single" w:sz="12" w:space="0" w:color="008000"/>
            </w:tcBorders>
            <w:shd w:val="clear" w:color="auto" w:fill="auto"/>
            <w:vAlign w:val="center"/>
          </w:tcPr>
          <w:p w14:paraId="63650B16" w14:textId="77777777" w:rsidR="00201506" w:rsidRPr="00E413B4" w:rsidRDefault="00201506" w:rsidP="00794499">
            <w:pPr>
              <w:jc w:val="center"/>
              <w:rPr>
                <w:rFonts w:asciiTheme="minorHAnsi" w:hAnsiTheme="minorHAnsi"/>
                <w:lang w:val="en-GB"/>
              </w:rPr>
            </w:pPr>
          </w:p>
        </w:tc>
      </w:tr>
      <w:tr w:rsidR="00201506" w:rsidRPr="00E413B4" w14:paraId="73BC8281" w14:textId="77777777" w:rsidTr="00320080">
        <w:trPr>
          <w:trHeight w:val="592"/>
        </w:trPr>
        <w:tc>
          <w:tcPr>
            <w:tcW w:w="702" w:type="dxa"/>
            <w:shd w:val="clear" w:color="auto" w:fill="auto"/>
            <w:vAlign w:val="center"/>
          </w:tcPr>
          <w:p w14:paraId="316C697A" w14:textId="77777777" w:rsidR="00201506" w:rsidRPr="00E413B4" w:rsidRDefault="00201506" w:rsidP="00794499">
            <w:pPr>
              <w:jc w:val="center"/>
              <w:rPr>
                <w:rFonts w:asciiTheme="minorHAnsi" w:hAnsiTheme="minorHAnsi"/>
                <w:lang w:val="en-GB"/>
              </w:rPr>
            </w:pPr>
          </w:p>
        </w:tc>
        <w:tc>
          <w:tcPr>
            <w:tcW w:w="8460" w:type="dxa"/>
            <w:tcBorders>
              <w:top w:val="single" w:sz="12" w:space="0" w:color="008000"/>
              <w:bottom w:val="single" w:sz="12" w:space="0" w:color="008000"/>
            </w:tcBorders>
            <w:shd w:val="clear" w:color="auto" w:fill="auto"/>
            <w:vAlign w:val="center"/>
          </w:tcPr>
          <w:p w14:paraId="27174BA8" w14:textId="77777777" w:rsidR="00201506" w:rsidRPr="00E413B4"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E413B4" w:rsidRDefault="00201506" w:rsidP="00794499">
            <w:pPr>
              <w:jc w:val="center"/>
              <w:rPr>
                <w:rFonts w:asciiTheme="minorHAnsi" w:hAnsiTheme="minorHAnsi"/>
                <w:lang w:val="en-GB"/>
              </w:rPr>
            </w:pPr>
          </w:p>
        </w:tc>
      </w:tr>
      <w:tr w:rsidR="00320080" w:rsidRPr="00E413B4" w14:paraId="4590A4A6" w14:textId="77777777" w:rsidTr="00320080">
        <w:trPr>
          <w:trHeight w:val="592"/>
        </w:trPr>
        <w:tc>
          <w:tcPr>
            <w:tcW w:w="702" w:type="dxa"/>
            <w:shd w:val="clear" w:color="auto" w:fill="auto"/>
            <w:vAlign w:val="center"/>
          </w:tcPr>
          <w:p w14:paraId="3B84CDA4" w14:textId="77777777" w:rsidR="00320080" w:rsidRPr="00E413B4" w:rsidRDefault="00320080" w:rsidP="00794499">
            <w:pPr>
              <w:jc w:val="center"/>
              <w:rPr>
                <w:rFonts w:asciiTheme="minorHAnsi" w:hAnsiTheme="minorHAnsi"/>
                <w:lang w:val="en-GB"/>
              </w:rPr>
            </w:pPr>
          </w:p>
        </w:tc>
        <w:tc>
          <w:tcPr>
            <w:tcW w:w="8460" w:type="dxa"/>
            <w:tcBorders>
              <w:top w:val="single" w:sz="12" w:space="0" w:color="008000"/>
              <w:bottom w:val="single" w:sz="12" w:space="0" w:color="008000"/>
            </w:tcBorders>
            <w:shd w:val="clear" w:color="auto" w:fill="auto"/>
            <w:vAlign w:val="center"/>
          </w:tcPr>
          <w:p w14:paraId="70D1D16F" w14:textId="77777777" w:rsidR="00320080" w:rsidRPr="00E413B4" w:rsidRDefault="00320080" w:rsidP="00794499">
            <w:pPr>
              <w:jc w:val="center"/>
              <w:rPr>
                <w:rFonts w:asciiTheme="minorHAnsi" w:hAnsiTheme="minorHAnsi"/>
                <w:lang w:val="en-GB"/>
              </w:rPr>
            </w:pPr>
          </w:p>
        </w:tc>
        <w:tc>
          <w:tcPr>
            <w:tcW w:w="717" w:type="dxa"/>
            <w:shd w:val="clear" w:color="auto" w:fill="auto"/>
            <w:vAlign w:val="center"/>
          </w:tcPr>
          <w:p w14:paraId="3C5C8CC1" w14:textId="77777777" w:rsidR="00320080" w:rsidRPr="00E413B4" w:rsidRDefault="00320080" w:rsidP="00794499">
            <w:pPr>
              <w:jc w:val="center"/>
              <w:rPr>
                <w:rFonts w:asciiTheme="minorHAnsi" w:hAnsiTheme="minorHAnsi"/>
                <w:lang w:val="en-GB"/>
              </w:rPr>
            </w:pPr>
          </w:p>
        </w:tc>
      </w:tr>
      <w:tr w:rsidR="00320080" w:rsidRPr="00E413B4" w14:paraId="4CFC13A7" w14:textId="77777777" w:rsidTr="00320080">
        <w:trPr>
          <w:trHeight w:val="592"/>
        </w:trPr>
        <w:tc>
          <w:tcPr>
            <w:tcW w:w="702" w:type="dxa"/>
            <w:shd w:val="clear" w:color="auto" w:fill="auto"/>
            <w:vAlign w:val="center"/>
          </w:tcPr>
          <w:p w14:paraId="23AFFC30" w14:textId="77777777" w:rsidR="00320080" w:rsidRPr="00E413B4" w:rsidRDefault="00320080" w:rsidP="00794499">
            <w:pPr>
              <w:jc w:val="center"/>
              <w:rPr>
                <w:rFonts w:asciiTheme="minorHAnsi" w:hAnsiTheme="minorHAnsi"/>
                <w:lang w:val="en-GB"/>
              </w:rPr>
            </w:pPr>
          </w:p>
        </w:tc>
        <w:tc>
          <w:tcPr>
            <w:tcW w:w="8460" w:type="dxa"/>
            <w:tcBorders>
              <w:top w:val="single" w:sz="12" w:space="0" w:color="008000"/>
              <w:bottom w:val="single" w:sz="12" w:space="0" w:color="008000"/>
            </w:tcBorders>
            <w:shd w:val="clear" w:color="auto" w:fill="auto"/>
            <w:vAlign w:val="center"/>
          </w:tcPr>
          <w:p w14:paraId="316A7C87" w14:textId="77777777" w:rsidR="00320080" w:rsidRPr="00E413B4" w:rsidRDefault="00320080" w:rsidP="00794499">
            <w:pPr>
              <w:jc w:val="center"/>
              <w:rPr>
                <w:rFonts w:asciiTheme="minorHAnsi" w:hAnsiTheme="minorHAnsi"/>
                <w:lang w:val="en-GB"/>
              </w:rPr>
            </w:pPr>
          </w:p>
        </w:tc>
        <w:tc>
          <w:tcPr>
            <w:tcW w:w="717" w:type="dxa"/>
            <w:shd w:val="clear" w:color="auto" w:fill="auto"/>
            <w:vAlign w:val="center"/>
          </w:tcPr>
          <w:p w14:paraId="5D381EA2" w14:textId="77777777" w:rsidR="00320080" w:rsidRPr="00E413B4" w:rsidRDefault="00320080" w:rsidP="00794499">
            <w:pPr>
              <w:jc w:val="center"/>
              <w:rPr>
                <w:rFonts w:asciiTheme="minorHAnsi" w:hAnsiTheme="minorHAnsi"/>
                <w:lang w:val="en-GB"/>
              </w:rPr>
            </w:pPr>
          </w:p>
        </w:tc>
      </w:tr>
      <w:tr w:rsidR="00320080" w:rsidRPr="00E413B4" w14:paraId="6906E35C" w14:textId="77777777" w:rsidTr="00C815C9">
        <w:trPr>
          <w:trHeight w:val="592"/>
        </w:trPr>
        <w:tc>
          <w:tcPr>
            <w:tcW w:w="702" w:type="dxa"/>
            <w:shd w:val="clear" w:color="auto" w:fill="auto"/>
            <w:vAlign w:val="center"/>
          </w:tcPr>
          <w:p w14:paraId="221E46C8" w14:textId="77777777" w:rsidR="00320080" w:rsidRPr="00E413B4" w:rsidRDefault="00320080"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7E8E2D76" w14:textId="77777777" w:rsidR="00320080" w:rsidRPr="00E413B4" w:rsidRDefault="00320080" w:rsidP="00794499">
            <w:pPr>
              <w:jc w:val="center"/>
              <w:rPr>
                <w:rFonts w:asciiTheme="minorHAnsi" w:hAnsiTheme="minorHAnsi"/>
                <w:lang w:val="en-GB"/>
              </w:rPr>
            </w:pPr>
          </w:p>
        </w:tc>
        <w:tc>
          <w:tcPr>
            <w:tcW w:w="717" w:type="dxa"/>
            <w:shd w:val="clear" w:color="auto" w:fill="auto"/>
            <w:vAlign w:val="center"/>
          </w:tcPr>
          <w:p w14:paraId="2F72FAA9" w14:textId="77777777" w:rsidR="00320080" w:rsidRPr="00E413B4" w:rsidRDefault="00320080" w:rsidP="00794499">
            <w:pPr>
              <w:jc w:val="center"/>
              <w:rPr>
                <w:rFonts w:asciiTheme="minorHAnsi" w:hAnsiTheme="minorHAnsi"/>
                <w:lang w:val="en-GB"/>
              </w:rPr>
            </w:pPr>
          </w:p>
        </w:tc>
      </w:tr>
    </w:tbl>
    <w:p w14:paraId="03F891E0" w14:textId="77777777" w:rsidR="007743B7" w:rsidRPr="00E413B4" w:rsidRDefault="007743B7">
      <w:pPr>
        <w:rPr>
          <w:lang w:val="en-GB"/>
        </w:rPr>
      </w:pPr>
    </w:p>
    <w:p w14:paraId="4696AAE5" w14:textId="77777777" w:rsidR="00F60464" w:rsidRPr="00E413B4" w:rsidRDefault="00F60464">
      <w:pPr>
        <w:rPr>
          <w:lang w:val="en-GB"/>
        </w:rPr>
      </w:pPr>
    </w:p>
    <w:p w14:paraId="39D3791F" w14:textId="52345FA8" w:rsidR="00F05BAE" w:rsidRPr="00E413B4" w:rsidRDefault="002B5C60" w:rsidP="00F05BAE">
      <w:pPr>
        <w:rPr>
          <w:b/>
          <w:bCs/>
          <w:lang w:val="en-GB"/>
        </w:rPr>
      </w:pPr>
      <w:r w:rsidRPr="00E413B4">
        <w:rPr>
          <w:b/>
          <w:bCs/>
          <w:lang w:val="en-GB"/>
        </w:rPr>
        <w:t>Document information:</w:t>
      </w:r>
      <w:r w:rsidR="00320080" w:rsidRPr="00E413B4">
        <w:rPr>
          <w:b/>
          <w:bCs/>
          <w:lang w:val="en-GB"/>
        </w:rPr>
        <w:tab/>
      </w:r>
      <w:r w:rsidR="00320080" w:rsidRPr="00E413B4">
        <w:rPr>
          <w:b/>
          <w:bCs/>
          <w:lang w:val="en-GB"/>
        </w:rPr>
        <w:tab/>
      </w:r>
    </w:p>
    <w:tbl>
      <w:tblPr>
        <w:tblStyle w:val="TableGrid"/>
        <w:tblW w:w="9878" w:type="dxa"/>
        <w:tblLook w:val="04A0" w:firstRow="1" w:lastRow="0" w:firstColumn="1" w:lastColumn="0" w:noHBand="0" w:noVBand="1"/>
      </w:tblPr>
      <w:tblGrid>
        <w:gridCol w:w="2518"/>
        <w:gridCol w:w="7360"/>
      </w:tblGrid>
      <w:tr w:rsidR="0091348E" w:rsidRPr="00E413B4" w14:paraId="2B89766E" w14:textId="77777777" w:rsidTr="007743B7">
        <w:trPr>
          <w:trHeight w:val="439"/>
        </w:trPr>
        <w:tc>
          <w:tcPr>
            <w:tcW w:w="2518" w:type="dxa"/>
            <w:shd w:val="clear" w:color="auto" w:fill="C6D9F1" w:themeFill="text2" w:themeFillTint="33"/>
            <w:vAlign w:val="center"/>
          </w:tcPr>
          <w:p w14:paraId="00DA7095" w14:textId="071455D6" w:rsidR="00F05BAE" w:rsidRPr="00E413B4" w:rsidRDefault="002B5C60" w:rsidP="00794499">
            <w:pPr>
              <w:jc w:val="both"/>
              <w:rPr>
                <w:rFonts w:asciiTheme="minorHAnsi" w:hAnsiTheme="minorHAnsi"/>
                <w:lang w:val="en-GB"/>
              </w:rPr>
            </w:pPr>
            <w:r w:rsidRPr="00E413B4">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E413B4" w:rsidRDefault="002C508E" w:rsidP="00794499">
                <w:pPr>
                  <w:rPr>
                    <w:rFonts w:asciiTheme="minorHAnsi" w:hAnsiTheme="minorHAnsi"/>
                    <w:lang w:val="en-GB"/>
                  </w:rPr>
                </w:pPr>
                <w:r w:rsidRPr="00E413B4">
                  <w:rPr>
                    <w:rFonts w:asciiTheme="minorHAnsi" w:hAnsiTheme="minorHAnsi"/>
                    <w:lang w:val="en-GB"/>
                  </w:rPr>
                  <w:t>A5 Development of educational tools for greening businesses</w:t>
                </w:r>
              </w:p>
            </w:tc>
          </w:sdtContent>
        </w:sdt>
      </w:tr>
      <w:tr w:rsidR="0091348E" w:rsidRPr="00E413B4" w14:paraId="35D789BF" w14:textId="77777777" w:rsidTr="007743B7">
        <w:trPr>
          <w:trHeight w:val="439"/>
        </w:trPr>
        <w:tc>
          <w:tcPr>
            <w:tcW w:w="2518" w:type="dxa"/>
            <w:shd w:val="clear" w:color="auto" w:fill="C6D9F1" w:themeFill="text2" w:themeFillTint="33"/>
            <w:vAlign w:val="center"/>
          </w:tcPr>
          <w:p w14:paraId="5391220B" w14:textId="4AD0286A" w:rsidR="006F315F" w:rsidRPr="00E413B4" w:rsidRDefault="006F315F" w:rsidP="006F315F">
            <w:pPr>
              <w:jc w:val="both"/>
              <w:rPr>
                <w:rFonts w:asciiTheme="minorHAnsi" w:hAnsiTheme="minorHAnsi"/>
                <w:lang w:val="en-GB"/>
              </w:rPr>
            </w:pPr>
            <w:r w:rsidRPr="00E413B4">
              <w:rPr>
                <w:rFonts w:asciiTheme="minorHAnsi" w:hAnsiTheme="minorHAnsi"/>
                <w:lang w:val="en-GB"/>
              </w:rPr>
              <w:t>Document type:</w:t>
            </w:r>
          </w:p>
        </w:tc>
        <w:tc>
          <w:tcPr>
            <w:tcW w:w="7360" w:type="dxa"/>
            <w:vAlign w:val="center"/>
          </w:tcPr>
          <w:p w14:paraId="01D3CFCD" w14:textId="57A84C23" w:rsidR="006F315F" w:rsidRPr="00E413B4" w:rsidRDefault="002C508E" w:rsidP="006F315F">
            <w:pPr>
              <w:rPr>
                <w:rFonts w:asciiTheme="minorHAnsi" w:hAnsiTheme="minorHAnsi"/>
                <w:lang w:val="en-GB"/>
              </w:rPr>
            </w:pPr>
            <w:r w:rsidRPr="00E413B4">
              <w:rPr>
                <w:rFonts w:asciiTheme="minorHAnsi" w:hAnsiTheme="minorHAnsi"/>
                <w:lang w:val="en-GB"/>
              </w:rPr>
              <w:t>Training material</w:t>
            </w:r>
          </w:p>
        </w:tc>
      </w:tr>
      <w:tr w:rsidR="0007656D" w:rsidRPr="00E413B4" w14:paraId="4B7B7ED8" w14:textId="77777777" w:rsidTr="007743B7">
        <w:trPr>
          <w:trHeight w:val="439"/>
        </w:trPr>
        <w:tc>
          <w:tcPr>
            <w:tcW w:w="2518" w:type="dxa"/>
            <w:shd w:val="clear" w:color="auto" w:fill="C6D9F1" w:themeFill="text2" w:themeFillTint="33"/>
            <w:vAlign w:val="center"/>
          </w:tcPr>
          <w:p w14:paraId="05D28059" w14:textId="41C72A85" w:rsidR="0007656D" w:rsidRPr="00E413B4" w:rsidRDefault="0007656D" w:rsidP="0007656D">
            <w:pPr>
              <w:jc w:val="both"/>
              <w:rPr>
                <w:rFonts w:asciiTheme="minorHAnsi" w:hAnsiTheme="minorHAnsi"/>
                <w:lang w:val="en-GB"/>
              </w:rPr>
            </w:pPr>
            <w:r w:rsidRPr="00E413B4">
              <w:rPr>
                <w:rFonts w:asciiTheme="minorHAnsi" w:hAnsiTheme="minorHAnsi"/>
                <w:lang w:val="en-GB"/>
              </w:rPr>
              <w:t>Responsible partner:</w:t>
            </w:r>
          </w:p>
        </w:tc>
        <w:sdt>
          <w:sdtPr>
            <w:rPr>
              <w:rFonts w:asciiTheme="minorHAnsi" w:hAnsiTheme="minorHAnsi"/>
              <w:lang w:val="en-GB"/>
            </w:rPr>
            <w:id w:val="-303322113"/>
            <w:placeholder>
              <w:docPart w:val="CEE20E2408C34CB0BB785ABBA45A9AB5"/>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6DD71597" w:rsidR="0007656D" w:rsidRPr="00E413B4" w:rsidRDefault="0007656D" w:rsidP="0007656D">
                <w:pPr>
                  <w:rPr>
                    <w:rFonts w:asciiTheme="minorHAnsi" w:hAnsiTheme="minorHAnsi"/>
                    <w:lang w:val="en-GB"/>
                  </w:rPr>
                </w:pPr>
                <w:r w:rsidRPr="00E413B4">
                  <w:rPr>
                    <w:rFonts w:asciiTheme="minorHAnsi" w:hAnsiTheme="minorHAnsi"/>
                    <w:lang w:val="en-GB"/>
                  </w:rPr>
                  <w:t>Centre for the Development of Jablanica and Pcinja Districts Leskovac, Serbia</w:t>
                </w:r>
              </w:p>
            </w:tc>
          </w:sdtContent>
        </w:sdt>
      </w:tr>
      <w:tr w:rsidR="0091348E" w:rsidRPr="00E413B4" w14:paraId="6D1BD434" w14:textId="77777777" w:rsidTr="007743B7">
        <w:trPr>
          <w:trHeight w:val="439"/>
        </w:trPr>
        <w:tc>
          <w:tcPr>
            <w:tcW w:w="2518" w:type="dxa"/>
            <w:shd w:val="clear" w:color="auto" w:fill="C6D9F1" w:themeFill="text2" w:themeFillTint="33"/>
            <w:vAlign w:val="center"/>
          </w:tcPr>
          <w:p w14:paraId="5F063FEE" w14:textId="7C2D3243" w:rsidR="007743B7" w:rsidRPr="00E413B4" w:rsidRDefault="007743B7" w:rsidP="007743B7">
            <w:pPr>
              <w:jc w:val="both"/>
              <w:rPr>
                <w:rFonts w:asciiTheme="minorHAnsi" w:hAnsiTheme="minorHAnsi"/>
                <w:lang w:val="en-GB"/>
              </w:rPr>
            </w:pPr>
            <w:r w:rsidRPr="00E413B4">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E413B4" w:rsidRDefault="007743B7" w:rsidP="007743B7">
                <w:pPr>
                  <w:jc w:val="both"/>
                  <w:rPr>
                    <w:rFonts w:asciiTheme="minorHAnsi" w:hAnsiTheme="minorHAnsi"/>
                    <w:lang w:val="en-GB"/>
                  </w:rPr>
                </w:pPr>
                <w:r w:rsidRPr="00E413B4">
                  <w:rPr>
                    <w:rFonts w:asciiTheme="minorHAnsi" w:hAnsiTheme="minorHAnsi"/>
                    <w:lang w:val="en-GB"/>
                  </w:rPr>
                  <w:t>Public</w:t>
                </w:r>
              </w:p>
            </w:tc>
          </w:sdtContent>
        </w:sdt>
      </w:tr>
    </w:tbl>
    <w:p w14:paraId="7FC944C6" w14:textId="77777777" w:rsidR="001B5FE5" w:rsidRPr="00E413B4" w:rsidRDefault="001B5FE5">
      <w:pPr>
        <w:rPr>
          <w:lang w:val="en-GB"/>
        </w:rPr>
      </w:pPr>
    </w:p>
    <w:p w14:paraId="08F2833C" w14:textId="5AA144E6" w:rsidR="007743B7" w:rsidRPr="00E413B4" w:rsidRDefault="007743B7">
      <w:pPr>
        <w:rPr>
          <w:lang w:val="en-GB"/>
        </w:rPr>
      </w:pPr>
      <w:r w:rsidRPr="00E413B4">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E413B4"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E413B4" w:rsidRDefault="007743B7" w:rsidP="00794499">
            <w:pPr>
              <w:spacing w:before="60" w:after="60"/>
              <w:jc w:val="center"/>
              <w:rPr>
                <w:rFonts w:asciiTheme="minorHAnsi" w:hAnsiTheme="minorHAnsi"/>
                <w:lang w:val="en-GB"/>
              </w:rPr>
            </w:pPr>
            <w:r w:rsidRPr="00E413B4">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E413B4" w:rsidRDefault="007743B7" w:rsidP="00794499">
            <w:pPr>
              <w:spacing w:before="60" w:after="60"/>
              <w:jc w:val="center"/>
              <w:rPr>
                <w:rFonts w:asciiTheme="minorHAnsi" w:hAnsiTheme="minorHAnsi"/>
                <w:lang w:val="en-GB"/>
              </w:rPr>
            </w:pPr>
            <w:r w:rsidRPr="00E413B4">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E413B4" w:rsidRDefault="007743B7" w:rsidP="00794499">
            <w:pPr>
              <w:spacing w:before="60" w:after="60"/>
              <w:jc w:val="center"/>
              <w:rPr>
                <w:rFonts w:asciiTheme="minorHAnsi" w:hAnsiTheme="minorHAnsi"/>
                <w:lang w:val="en-GB"/>
              </w:rPr>
            </w:pPr>
            <w:r w:rsidRPr="00E413B4">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E413B4" w:rsidRDefault="007743B7" w:rsidP="00794499">
            <w:pPr>
              <w:spacing w:before="60" w:after="60"/>
              <w:jc w:val="center"/>
              <w:rPr>
                <w:rFonts w:asciiTheme="minorHAnsi" w:hAnsiTheme="minorHAnsi"/>
                <w:lang w:val="en-GB"/>
              </w:rPr>
            </w:pPr>
            <w:r w:rsidRPr="00E413B4">
              <w:rPr>
                <w:rFonts w:asciiTheme="minorHAnsi" w:hAnsiTheme="minorHAnsi"/>
                <w:lang w:val="en-GB"/>
              </w:rPr>
              <w:t>Author(s)</w:t>
            </w:r>
          </w:p>
        </w:tc>
      </w:tr>
      <w:tr w:rsidR="00787C68" w:rsidRPr="00E413B4" w14:paraId="67A228A8" w14:textId="77777777" w:rsidTr="003222E9">
        <w:tc>
          <w:tcPr>
            <w:tcW w:w="2469" w:type="dxa"/>
            <w:vAlign w:val="center"/>
          </w:tcPr>
          <w:p w14:paraId="035EE6F5" w14:textId="10E430AB" w:rsidR="00787C68" w:rsidRPr="00E413B4" w:rsidRDefault="0007656D" w:rsidP="003222E9">
            <w:pPr>
              <w:spacing w:before="60" w:after="60"/>
              <w:jc w:val="center"/>
              <w:rPr>
                <w:rFonts w:asciiTheme="minorHAnsi" w:hAnsiTheme="minorHAnsi"/>
                <w:lang w:val="en-GB"/>
              </w:rPr>
            </w:pPr>
            <w:r w:rsidRPr="00E413B4">
              <w:rPr>
                <w:rFonts w:asciiTheme="minorHAnsi" w:hAnsiTheme="minorHAnsi"/>
                <w:lang w:val="en-GB"/>
              </w:rPr>
              <w:t xml:space="preserve">Version </w:t>
            </w:r>
            <w:r w:rsidR="00787C68" w:rsidRPr="00E413B4">
              <w:rPr>
                <w:rFonts w:asciiTheme="minorHAnsi" w:hAnsiTheme="minorHAnsi"/>
                <w:lang w:val="en-GB"/>
              </w:rPr>
              <w:t>1.0</w:t>
            </w:r>
          </w:p>
        </w:tc>
        <w:tc>
          <w:tcPr>
            <w:tcW w:w="2470" w:type="dxa"/>
            <w:vAlign w:val="center"/>
          </w:tcPr>
          <w:p w14:paraId="6ACF084A" w14:textId="00F10DA3" w:rsidR="00787C68" w:rsidRPr="00E413B4" w:rsidRDefault="0091117F" w:rsidP="003222E9">
            <w:pPr>
              <w:spacing w:before="60" w:after="60"/>
              <w:jc w:val="center"/>
              <w:rPr>
                <w:rFonts w:asciiTheme="minorHAnsi" w:hAnsiTheme="minorHAnsi"/>
                <w:lang w:val="en-GB"/>
              </w:rPr>
            </w:pPr>
            <w:r w:rsidRPr="00E413B4">
              <w:rPr>
                <w:rFonts w:asciiTheme="minorHAnsi" w:hAnsiTheme="minorHAnsi"/>
                <w:lang w:val="en-GB"/>
              </w:rPr>
              <w:t>04.02.2025.</w:t>
            </w:r>
          </w:p>
        </w:tc>
        <w:tc>
          <w:tcPr>
            <w:tcW w:w="2470" w:type="dxa"/>
            <w:vAlign w:val="center"/>
          </w:tcPr>
          <w:p w14:paraId="237DDD12" w14:textId="7A5DEAC4" w:rsidR="00787C68" w:rsidRPr="00E413B4" w:rsidRDefault="00787C68" w:rsidP="003222E9">
            <w:pPr>
              <w:spacing w:before="60" w:after="60"/>
              <w:jc w:val="center"/>
              <w:rPr>
                <w:rFonts w:asciiTheme="minorHAnsi" w:hAnsiTheme="minorHAnsi"/>
                <w:lang w:val="en-GB"/>
              </w:rPr>
            </w:pPr>
            <w:r w:rsidRPr="00E413B4">
              <w:rPr>
                <w:rFonts w:asciiTheme="minorHAnsi" w:hAnsiTheme="minorHAnsi"/>
                <w:lang w:val="en-GB"/>
              </w:rPr>
              <w:t>Draft</w:t>
            </w:r>
          </w:p>
        </w:tc>
        <w:tc>
          <w:tcPr>
            <w:tcW w:w="2470" w:type="dxa"/>
            <w:vMerge w:val="restart"/>
            <w:vAlign w:val="center"/>
          </w:tcPr>
          <w:p w14:paraId="2E96BB74" w14:textId="30560612" w:rsidR="00787C68" w:rsidRPr="00E413B4" w:rsidRDefault="000E5568">
            <w:pPr>
              <w:pStyle w:val="ListParagraph"/>
              <w:numPr>
                <w:ilvl w:val="0"/>
                <w:numId w:val="1"/>
              </w:numPr>
              <w:spacing w:before="60" w:after="60"/>
              <w:rPr>
                <w:rFonts w:asciiTheme="minorHAnsi" w:hAnsiTheme="minorHAnsi"/>
                <w:sz w:val="20"/>
                <w:szCs w:val="20"/>
                <w:lang w:val="en-GB"/>
              </w:rPr>
            </w:pPr>
            <w:r w:rsidRPr="00E413B4">
              <w:rPr>
                <w:rFonts w:asciiTheme="minorHAnsi" w:hAnsiTheme="minorHAnsi"/>
                <w:sz w:val="20"/>
                <w:szCs w:val="20"/>
                <w:lang w:val="en-GB"/>
              </w:rPr>
              <w:t>PMT</w:t>
            </w:r>
          </w:p>
        </w:tc>
      </w:tr>
      <w:tr w:rsidR="00787C68" w:rsidRPr="00E413B4" w14:paraId="1345F947" w14:textId="77777777" w:rsidTr="00794499">
        <w:tc>
          <w:tcPr>
            <w:tcW w:w="2469" w:type="dxa"/>
            <w:vAlign w:val="bottom"/>
          </w:tcPr>
          <w:p w14:paraId="52FE94DD" w14:textId="3434E829" w:rsidR="00787C68" w:rsidRPr="00E413B4" w:rsidRDefault="0007656D" w:rsidP="00794499">
            <w:pPr>
              <w:spacing w:before="60" w:after="60"/>
              <w:jc w:val="center"/>
              <w:rPr>
                <w:rFonts w:asciiTheme="minorHAnsi" w:hAnsiTheme="minorHAnsi"/>
                <w:lang w:val="en-GB"/>
              </w:rPr>
            </w:pPr>
            <w:r w:rsidRPr="00E413B4">
              <w:rPr>
                <w:rFonts w:asciiTheme="minorHAnsi" w:hAnsiTheme="minorHAnsi"/>
                <w:lang w:val="en-GB"/>
              </w:rPr>
              <w:t>V</w:t>
            </w:r>
            <w:r w:rsidR="00787C68" w:rsidRPr="00E413B4">
              <w:rPr>
                <w:rFonts w:asciiTheme="minorHAnsi" w:hAnsiTheme="minorHAnsi"/>
                <w:lang w:val="en-GB"/>
              </w:rPr>
              <w:t>ersion 2.0</w:t>
            </w:r>
          </w:p>
        </w:tc>
        <w:tc>
          <w:tcPr>
            <w:tcW w:w="2470" w:type="dxa"/>
            <w:vAlign w:val="center"/>
          </w:tcPr>
          <w:p w14:paraId="0BA1C857" w14:textId="55F4857A" w:rsidR="00787C68" w:rsidRPr="00E413B4" w:rsidRDefault="005F6900" w:rsidP="00794499">
            <w:pPr>
              <w:spacing w:before="60" w:after="60"/>
              <w:jc w:val="center"/>
              <w:rPr>
                <w:rFonts w:asciiTheme="minorHAnsi" w:hAnsiTheme="minorHAnsi"/>
                <w:lang w:val="en-GB"/>
              </w:rPr>
            </w:pPr>
            <w:r w:rsidRPr="00E413B4">
              <w:rPr>
                <w:rFonts w:asciiTheme="minorHAnsi" w:hAnsiTheme="minorHAnsi"/>
                <w:lang w:val="en-GB"/>
              </w:rPr>
              <w:t>11.04.2025.</w:t>
            </w:r>
          </w:p>
        </w:tc>
        <w:tc>
          <w:tcPr>
            <w:tcW w:w="2470" w:type="dxa"/>
            <w:vAlign w:val="bottom"/>
          </w:tcPr>
          <w:p w14:paraId="588F7437" w14:textId="77777777" w:rsidR="00787C68" w:rsidRPr="00E413B4" w:rsidRDefault="00787C68" w:rsidP="009720F5">
            <w:pPr>
              <w:spacing w:before="60" w:after="60"/>
              <w:jc w:val="center"/>
              <w:rPr>
                <w:rFonts w:asciiTheme="minorHAnsi" w:hAnsiTheme="minorHAnsi"/>
                <w:lang w:val="en-GB"/>
              </w:rPr>
            </w:pPr>
            <w:r w:rsidRPr="00E413B4">
              <w:rPr>
                <w:rFonts w:asciiTheme="minorHAnsi" w:hAnsiTheme="minorHAnsi"/>
                <w:lang w:val="en-GB"/>
              </w:rPr>
              <w:t>Final version</w:t>
            </w:r>
          </w:p>
        </w:tc>
        <w:tc>
          <w:tcPr>
            <w:tcW w:w="2470" w:type="dxa"/>
            <w:vMerge/>
            <w:vAlign w:val="center"/>
          </w:tcPr>
          <w:p w14:paraId="126A4E2E" w14:textId="17B4135B" w:rsidR="00787C68" w:rsidRPr="00E413B4" w:rsidRDefault="00787C68" w:rsidP="00787C68">
            <w:pPr>
              <w:spacing w:before="60" w:after="60"/>
              <w:jc w:val="center"/>
              <w:rPr>
                <w:rFonts w:asciiTheme="minorHAnsi" w:hAnsiTheme="minorHAnsi"/>
                <w:lang w:val="en-GB"/>
              </w:rPr>
            </w:pPr>
          </w:p>
        </w:tc>
      </w:tr>
    </w:tbl>
    <w:p w14:paraId="228CC9A4" w14:textId="77777777" w:rsidR="001B5FE5" w:rsidRPr="00E413B4" w:rsidRDefault="001B5FE5">
      <w:pPr>
        <w:rPr>
          <w:lang w:val="en-GB"/>
        </w:rPr>
      </w:pPr>
    </w:p>
    <w:p w14:paraId="3DBB43FD" w14:textId="77777777" w:rsidR="00787C68" w:rsidRPr="00E413B4"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E413B4" w14:paraId="2EABAC36" w14:textId="77777777" w:rsidTr="79180EEC">
        <w:tc>
          <w:tcPr>
            <w:tcW w:w="9879" w:type="dxa"/>
          </w:tcPr>
          <w:p w14:paraId="5A41F047" w14:textId="12D8220C" w:rsidR="001B5FE5" w:rsidRPr="00E413B4" w:rsidRDefault="001B5FE5" w:rsidP="001B5FE5">
            <w:pPr>
              <w:tabs>
                <w:tab w:val="left" w:pos="5724"/>
              </w:tabs>
              <w:jc w:val="both"/>
              <w:rPr>
                <w:b/>
                <w:bCs/>
                <w:lang w:val="en-GB"/>
              </w:rPr>
            </w:pPr>
            <w:r w:rsidRPr="00E413B4">
              <w:rPr>
                <w:b/>
                <w:bCs/>
                <w:lang w:val="en-GB"/>
              </w:rPr>
              <w:t>Disclaimer:</w:t>
            </w:r>
          </w:p>
        </w:tc>
      </w:tr>
      <w:tr w:rsidR="00F60464" w:rsidRPr="00E413B4" w14:paraId="40749F26" w14:textId="77777777" w:rsidTr="79180EEC">
        <w:tc>
          <w:tcPr>
            <w:tcW w:w="9879" w:type="dxa"/>
          </w:tcPr>
          <w:p w14:paraId="0AFA53FC" w14:textId="13D48061" w:rsidR="001B5FE5" w:rsidRPr="00E413B4" w:rsidRDefault="00470022" w:rsidP="79180EEC">
            <w:pPr>
              <w:tabs>
                <w:tab w:val="left" w:pos="5724"/>
              </w:tabs>
              <w:jc w:val="both"/>
              <w:rPr>
                <w:rFonts w:asciiTheme="minorHAnsi" w:hAnsiTheme="minorHAnsi"/>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tc>
      </w:tr>
    </w:tbl>
    <w:p w14:paraId="289F56DD" w14:textId="77777777" w:rsidR="005F6900" w:rsidRPr="00E413B4" w:rsidRDefault="005F6900" w:rsidP="005F6900">
      <w:pPr>
        <w:rPr>
          <w:rFonts w:asciiTheme="minorHAnsi" w:hAnsiTheme="minorHAnsi"/>
          <w:lang w:val="en-GB"/>
        </w:rPr>
      </w:pPr>
    </w:p>
    <w:sdt>
      <w:sdtPr>
        <w:rPr>
          <w:rFonts w:asciiTheme="minorHAnsi" w:eastAsia="Times New Roman" w:hAnsiTheme="minorHAnsi" w:cstheme="minorBidi"/>
          <w:color w:val="auto"/>
          <w:sz w:val="22"/>
          <w:szCs w:val="22"/>
          <w:lang w:val="en-GB"/>
        </w:rPr>
        <w:id w:val="1715770131"/>
        <w:docPartObj>
          <w:docPartGallery w:val="Table of Contents"/>
          <w:docPartUnique/>
        </w:docPartObj>
      </w:sdtPr>
      <w:sdtEndPr>
        <w:rPr>
          <w:b/>
          <w:bCs/>
        </w:rPr>
      </w:sdtEndPr>
      <w:sdtContent>
        <w:p w14:paraId="03D42F9C" w14:textId="77777777" w:rsidR="005F6900" w:rsidRPr="00E413B4" w:rsidRDefault="005F6900" w:rsidP="005F6900">
          <w:pPr>
            <w:pStyle w:val="TOCHeading"/>
            <w:rPr>
              <w:rFonts w:asciiTheme="minorHAnsi" w:hAnsiTheme="minorHAnsi" w:cstheme="minorHAnsi"/>
              <w:color w:val="008000"/>
              <w:sz w:val="22"/>
              <w:szCs w:val="22"/>
              <w:lang w:val="en-GB"/>
            </w:rPr>
          </w:pPr>
          <w:r w:rsidRPr="00E413B4">
            <w:rPr>
              <w:rFonts w:asciiTheme="minorHAnsi" w:hAnsiTheme="minorHAnsi" w:cstheme="minorHAnsi"/>
              <w:b/>
              <w:bCs/>
              <w:color w:val="008000"/>
              <w:sz w:val="22"/>
              <w:szCs w:val="22"/>
              <w:lang w:val="en-GB"/>
            </w:rPr>
            <w:t>Contents</w:t>
          </w:r>
        </w:p>
        <w:p w14:paraId="7E33268B" w14:textId="77777777" w:rsidR="005F6900" w:rsidRPr="00E413B4" w:rsidRDefault="005F6900" w:rsidP="005F6900">
          <w:pPr>
            <w:rPr>
              <w:rFonts w:asciiTheme="minorHAnsi" w:hAnsiTheme="minorHAnsi"/>
              <w:lang w:val="en-GB"/>
            </w:rPr>
          </w:pPr>
        </w:p>
        <w:p w14:paraId="55E01AF3" w14:textId="0642EA88" w:rsidR="00B126A5" w:rsidRPr="00E413B4" w:rsidRDefault="005F6900">
          <w:pPr>
            <w:pStyle w:val="TOC1"/>
            <w:tabs>
              <w:tab w:val="right" w:leader="dot" w:pos="9653"/>
            </w:tabs>
            <w:rPr>
              <w:rFonts w:asciiTheme="minorHAnsi" w:eastAsiaTheme="minorEastAsia" w:hAnsiTheme="minorHAnsi" w:cstheme="minorBidi"/>
              <w:kern w:val="2"/>
              <w:sz w:val="24"/>
              <w:szCs w:val="24"/>
              <w:lang w:val="en-GB"/>
              <w14:ligatures w14:val="standardContextual"/>
            </w:rPr>
          </w:pPr>
          <w:r w:rsidRPr="00E413B4">
            <w:rPr>
              <w:rFonts w:asciiTheme="minorHAnsi" w:hAnsiTheme="minorHAnsi"/>
              <w:lang w:val="en-GB"/>
            </w:rPr>
            <w:fldChar w:fldCharType="begin"/>
          </w:r>
          <w:r w:rsidRPr="00E413B4">
            <w:rPr>
              <w:rFonts w:asciiTheme="minorHAnsi" w:hAnsiTheme="minorHAnsi"/>
              <w:lang w:val="en-GB"/>
            </w:rPr>
            <w:instrText xml:space="preserve"> TOC \o "1-3" \h \z \u </w:instrText>
          </w:r>
          <w:r w:rsidRPr="00E413B4">
            <w:rPr>
              <w:rFonts w:asciiTheme="minorHAnsi" w:hAnsiTheme="minorHAnsi"/>
              <w:lang w:val="en-GB"/>
            </w:rPr>
            <w:fldChar w:fldCharType="separate"/>
          </w:r>
          <w:hyperlink w:anchor="_Toc195167988" w:history="1">
            <w:r w:rsidR="00B126A5" w:rsidRPr="00E413B4">
              <w:rPr>
                <w:rStyle w:val="Hyperlink"/>
                <w:b/>
                <w:bCs/>
                <w:lang w:val="en-GB"/>
              </w:rPr>
              <w:t xml:space="preserve">1. Introduction </w:t>
            </w:r>
          </w:hyperlink>
          <w:r w:rsidR="00B126A5" w:rsidRPr="00E413B4">
            <w:rPr>
              <w:webHidden/>
              <w:lang w:val="en-GB"/>
            </w:rPr>
            <w:tab/>
          </w:r>
          <w:r w:rsidR="00B126A5" w:rsidRPr="00E413B4">
            <w:rPr>
              <w:webHidden/>
              <w:lang w:val="en-GB"/>
            </w:rPr>
            <w:fldChar w:fldCharType="begin"/>
          </w:r>
          <w:r w:rsidR="00B126A5" w:rsidRPr="00E413B4">
            <w:rPr>
              <w:webHidden/>
              <w:lang w:val="en-GB"/>
            </w:rPr>
            <w:instrText xml:space="preserve"> PAGEREF _Toc195167988 \h </w:instrText>
          </w:r>
          <w:r w:rsidR="00B126A5" w:rsidRPr="00E413B4">
            <w:rPr>
              <w:webHidden/>
              <w:lang w:val="en-GB"/>
            </w:rPr>
          </w:r>
          <w:r w:rsidR="00B126A5" w:rsidRPr="00E413B4">
            <w:rPr>
              <w:webHidden/>
              <w:lang w:val="en-GB"/>
            </w:rPr>
            <w:fldChar w:fldCharType="separate"/>
          </w:r>
          <w:hyperlink w:anchor="_Toc195167988" w:history="1">
            <w:r w:rsidR="00B126A5" w:rsidRPr="00E413B4">
              <w:rPr>
                <w:webHidden/>
                <w:lang w:val="en-GB"/>
              </w:rPr>
              <w:t>2</w:t>
            </w:r>
          </w:hyperlink>
          <w:r w:rsidR="00B126A5" w:rsidRPr="00E413B4">
            <w:rPr>
              <w:webHidden/>
              <w:lang w:val="en-GB"/>
            </w:rPr>
            <w:fldChar w:fldCharType="end"/>
          </w:r>
        </w:p>
        <w:p w14:paraId="1176D2D1" w14:textId="03353B6B" w:rsidR="00B126A5" w:rsidRPr="00E413B4" w:rsidRDefault="00B126A5">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5167989" w:history="1">
            <w:r w:rsidRPr="00E413B4">
              <w:rPr>
                <w:rStyle w:val="Hyperlink"/>
                <w:b/>
                <w:bCs/>
                <w:lang w:val="en-GB"/>
              </w:rPr>
              <w:t xml:space="preserve">2. Green financing for small and medium-sized enterprises and entrepreneurs </w:t>
            </w:r>
          </w:hyperlink>
          <w:r w:rsidRPr="00E413B4">
            <w:rPr>
              <w:webHidden/>
              <w:lang w:val="en-GB"/>
            </w:rPr>
            <w:tab/>
          </w:r>
          <w:r w:rsidRPr="00E413B4">
            <w:rPr>
              <w:webHidden/>
              <w:lang w:val="en-GB"/>
            </w:rPr>
            <w:fldChar w:fldCharType="begin"/>
          </w:r>
          <w:r w:rsidRPr="00E413B4">
            <w:rPr>
              <w:webHidden/>
              <w:lang w:val="en-GB"/>
            </w:rPr>
            <w:instrText xml:space="preserve"> PAGEREF _Toc195167989 \h </w:instrText>
          </w:r>
          <w:r w:rsidRPr="00E413B4">
            <w:rPr>
              <w:webHidden/>
              <w:lang w:val="en-GB"/>
            </w:rPr>
          </w:r>
          <w:r w:rsidRPr="00E413B4">
            <w:rPr>
              <w:webHidden/>
              <w:lang w:val="en-GB"/>
            </w:rPr>
            <w:fldChar w:fldCharType="separate"/>
          </w:r>
          <w:hyperlink w:anchor="_Toc195167989" w:history="1">
            <w:r w:rsidRPr="00E413B4">
              <w:rPr>
                <w:webHidden/>
                <w:lang w:val="en-GB"/>
              </w:rPr>
              <w:t>4</w:t>
            </w:r>
          </w:hyperlink>
          <w:r w:rsidRPr="00E413B4">
            <w:rPr>
              <w:webHidden/>
              <w:lang w:val="en-GB"/>
            </w:rPr>
            <w:fldChar w:fldCharType="end"/>
          </w:r>
        </w:p>
        <w:p w14:paraId="16825D0B" w14:textId="1298962C" w:rsidR="00B126A5" w:rsidRPr="00E413B4" w:rsidRDefault="00B126A5">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0" w:history="1">
            <w:r w:rsidRPr="00E413B4">
              <w:rPr>
                <w:rStyle w:val="Hyperlink"/>
                <w:b/>
                <w:lang w:val="en-GB"/>
              </w:rPr>
              <w:t xml:space="preserve">3. Greening of business, principles and criteria of green financing </w:t>
            </w:r>
          </w:hyperlink>
          <w:r w:rsidRPr="00E413B4">
            <w:rPr>
              <w:webHidden/>
              <w:lang w:val="en-GB"/>
            </w:rPr>
            <w:tab/>
          </w:r>
          <w:r w:rsidRPr="00E413B4">
            <w:rPr>
              <w:webHidden/>
              <w:lang w:val="en-GB"/>
            </w:rPr>
            <w:fldChar w:fldCharType="begin"/>
          </w:r>
          <w:r w:rsidRPr="00E413B4">
            <w:rPr>
              <w:webHidden/>
              <w:lang w:val="en-GB"/>
            </w:rPr>
            <w:instrText xml:space="preserve"> PAGEREF _Toc195167990 \h </w:instrText>
          </w:r>
          <w:r w:rsidRPr="00E413B4">
            <w:rPr>
              <w:webHidden/>
              <w:lang w:val="en-GB"/>
            </w:rPr>
          </w:r>
          <w:r w:rsidRPr="00E413B4">
            <w:rPr>
              <w:webHidden/>
              <w:lang w:val="en-GB"/>
            </w:rPr>
            <w:fldChar w:fldCharType="separate"/>
          </w:r>
          <w:hyperlink w:anchor="_Toc195167990" w:history="1">
            <w:r w:rsidRPr="00E413B4">
              <w:rPr>
                <w:webHidden/>
                <w:lang w:val="en-GB"/>
              </w:rPr>
              <w:t>8</w:t>
            </w:r>
          </w:hyperlink>
          <w:r w:rsidRPr="00E413B4">
            <w:rPr>
              <w:webHidden/>
              <w:lang w:val="en-GB"/>
            </w:rPr>
            <w:fldChar w:fldCharType="end"/>
          </w:r>
        </w:p>
        <w:p w14:paraId="22381C8E" w14:textId="60890CD4" w:rsidR="00B126A5" w:rsidRPr="00E413B4" w:rsidRDefault="00B126A5">
          <w:pPr>
            <w:pStyle w:val="TOC3"/>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1" w:history="1">
            <w:r w:rsidRPr="00E413B4">
              <w:rPr>
                <w:rStyle w:val="Hyperlink"/>
                <w:lang w:val="en-GB"/>
              </w:rPr>
              <w:t xml:space="preserve">3.1. </w:t>
            </w:r>
          </w:hyperlink>
          <w:hyperlink w:anchor="_Toc195167991" w:history="1">
            <w:r w:rsidRPr="00E413B4">
              <w:rPr>
                <w:rStyle w:val="Hyperlink"/>
                <w:rFonts w:cs="Calibri"/>
                <w:lang w:val="en-GB" w:eastAsia="en-GB"/>
              </w:rPr>
              <w:t xml:space="preserve">Principles and criteria of green financing </w:t>
            </w:r>
          </w:hyperlink>
          <w:r w:rsidRPr="00E413B4">
            <w:rPr>
              <w:webHidden/>
              <w:lang w:val="en-GB"/>
            </w:rPr>
            <w:tab/>
          </w:r>
          <w:r w:rsidRPr="00E413B4">
            <w:rPr>
              <w:webHidden/>
              <w:lang w:val="en-GB"/>
            </w:rPr>
            <w:fldChar w:fldCharType="begin"/>
          </w:r>
          <w:r w:rsidRPr="00E413B4">
            <w:rPr>
              <w:webHidden/>
              <w:lang w:val="en-GB"/>
            </w:rPr>
            <w:instrText xml:space="preserve"> PAGEREF _Toc195167991 \h </w:instrText>
          </w:r>
          <w:r w:rsidRPr="00E413B4">
            <w:rPr>
              <w:webHidden/>
              <w:lang w:val="en-GB"/>
            </w:rPr>
          </w:r>
          <w:r w:rsidRPr="00E413B4">
            <w:rPr>
              <w:webHidden/>
              <w:lang w:val="en-GB"/>
            </w:rPr>
            <w:fldChar w:fldCharType="separate"/>
          </w:r>
          <w:hyperlink w:anchor="_Toc195167991" w:history="1">
            <w:r w:rsidRPr="00E413B4">
              <w:rPr>
                <w:webHidden/>
                <w:lang w:val="en-GB"/>
              </w:rPr>
              <w:t>9</w:t>
            </w:r>
          </w:hyperlink>
          <w:r w:rsidRPr="00E413B4">
            <w:rPr>
              <w:webHidden/>
              <w:lang w:val="en-GB"/>
            </w:rPr>
            <w:fldChar w:fldCharType="end"/>
          </w:r>
        </w:p>
        <w:p w14:paraId="5DAC37D8" w14:textId="3534F096" w:rsidR="00B126A5" w:rsidRPr="00E413B4" w:rsidRDefault="00B126A5">
          <w:pPr>
            <w:pStyle w:val="TOC3"/>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2" w:history="1">
            <w:r w:rsidRPr="00E413B4">
              <w:rPr>
                <w:rStyle w:val="Hyperlink"/>
                <w:rFonts w:cs="Calibri"/>
                <w:lang w:val="en-GB" w:eastAsia="en-GB"/>
              </w:rPr>
              <w:t xml:space="preserve">3.2. EU Taxonomy and Standards of Sustainable Finance </w:t>
            </w:r>
          </w:hyperlink>
          <w:r w:rsidRPr="00E413B4">
            <w:rPr>
              <w:webHidden/>
              <w:lang w:val="en-GB"/>
            </w:rPr>
            <w:tab/>
          </w:r>
          <w:r w:rsidRPr="00E413B4">
            <w:rPr>
              <w:webHidden/>
              <w:lang w:val="en-GB"/>
            </w:rPr>
            <w:fldChar w:fldCharType="begin"/>
          </w:r>
          <w:r w:rsidRPr="00E413B4">
            <w:rPr>
              <w:webHidden/>
              <w:lang w:val="en-GB"/>
            </w:rPr>
            <w:instrText xml:space="preserve"> PAGEREF _Toc195167992 \h </w:instrText>
          </w:r>
          <w:r w:rsidRPr="00E413B4">
            <w:rPr>
              <w:webHidden/>
              <w:lang w:val="en-GB"/>
            </w:rPr>
          </w:r>
          <w:r w:rsidRPr="00E413B4">
            <w:rPr>
              <w:webHidden/>
              <w:lang w:val="en-GB"/>
            </w:rPr>
            <w:fldChar w:fldCharType="separate"/>
          </w:r>
          <w:hyperlink w:anchor="_Toc195167992" w:history="1">
            <w:r w:rsidRPr="00E413B4">
              <w:rPr>
                <w:webHidden/>
                <w:lang w:val="en-GB"/>
              </w:rPr>
              <w:t>11</w:t>
            </w:r>
          </w:hyperlink>
          <w:r w:rsidRPr="00E413B4">
            <w:rPr>
              <w:webHidden/>
              <w:lang w:val="en-GB"/>
            </w:rPr>
            <w:fldChar w:fldCharType="end"/>
          </w:r>
        </w:p>
        <w:p w14:paraId="32E74584" w14:textId="5ABF794F" w:rsidR="00B126A5" w:rsidRPr="00E413B4" w:rsidRDefault="00B126A5">
          <w:pPr>
            <w:pStyle w:val="TOC3"/>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3" w:history="1">
            <w:r w:rsidRPr="00E413B4">
              <w:rPr>
                <w:rStyle w:val="Hyperlink"/>
                <w:rFonts w:cs="Calibri"/>
                <w:lang w:val="en-GB" w:eastAsia="en-GB"/>
              </w:rPr>
              <w:t xml:space="preserve">3.3. Examples of funded projects </w:t>
            </w:r>
          </w:hyperlink>
          <w:r w:rsidRPr="00E413B4">
            <w:rPr>
              <w:webHidden/>
              <w:lang w:val="en-GB"/>
            </w:rPr>
            <w:tab/>
          </w:r>
          <w:r w:rsidRPr="00E413B4">
            <w:rPr>
              <w:webHidden/>
              <w:lang w:val="en-GB"/>
            </w:rPr>
            <w:fldChar w:fldCharType="begin"/>
          </w:r>
          <w:r w:rsidRPr="00E413B4">
            <w:rPr>
              <w:webHidden/>
              <w:lang w:val="en-GB"/>
            </w:rPr>
            <w:instrText xml:space="preserve"> PAGEREF _Toc195167993 \h </w:instrText>
          </w:r>
          <w:r w:rsidRPr="00E413B4">
            <w:rPr>
              <w:webHidden/>
              <w:lang w:val="en-GB"/>
            </w:rPr>
          </w:r>
          <w:r w:rsidRPr="00E413B4">
            <w:rPr>
              <w:webHidden/>
              <w:lang w:val="en-GB"/>
            </w:rPr>
            <w:fldChar w:fldCharType="separate"/>
          </w:r>
          <w:hyperlink w:anchor="_Toc195167993" w:history="1">
            <w:r w:rsidRPr="00E413B4">
              <w:rPr>
                <w:webHidden/>
                <w:lang w:val="en-GB"/>
              </w:rPr>
              <w:t>12</w:t>
            </w:r>
          </w:hyperlink>
          <w:r w:rsidRPr="00E413B4">
            <w:rPr>
              <w:webHidden/>
              <w:lang w:val="en-GB"/>
            </w:rPr>
            <w:fldChar w:fldCharType="end"/>
          </w:r>
        </w:p>
        <w:p w14:paraId="6D62AFF1" w14:textId="5EA232B1" w:rsidR="00B126A5" w:rsidRPr="00E413B4" w:rsidRDefault="00B126A5">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4" w:history="1">
            <w:r w:rsidRPr="00E413B4">
              <w:rPr>
                <w:rStyle w:val="Hyperlink"/>
                <w:b/>
                <w:lang w:val="en-GB"/>
              </w:rPr>
              <w:t xml:space="preserve">4. Overview of available green financial instruments in Serbia </w:t>
            </w:r>
          </w:hyperlink>
          <w:r w:rsidRPr="00E413B4">
            <w:rPr>
              <w:webHidden/>
              <w:lang w:val="en-GB"/>
            </w:rPr>
            <w:tab/>
          </w:r>
          <w:r w:rsidRPr="00E413B4">
            <w:rPr>
              <w:webHidden/>
              <w:lang w:val="en-GB"/>
            </w:rPr>
            <w:fldChar w:fldCharType="begin"/>
          </w:r>
          <w:r w:rsidRPr="00E413B4">
            <w:rPr>
              <w:webHidden/>
              <w:lang w:val="en-GB"/>
            </w:rPr>
            <w:instrText xml:space="preserve"> PAGEREF _Toc195167994 \h </w:instrText>
          </w:r>
          <w:r w:rsidRPr="00E413B4">
            <w:rPr>
              <w:webHidden/>
              <w:lang w:val="en-GB"/>
            </w:rPr>
          </w:r>
          <w:r w:rsidRPr="00E413B4">
            <w:rPr>
              <w:webHidden/>
              <w:lang w:val="en-GB"/>
            </w:rPr>
            <w:fldChar w:fldCharType="separate"/>
          </w:r>
          <w:hyperlink w:anchor="_Toc195167994" w:history="1">
            <w:r w:rsidRPr="00E413B4">
              <w:rPr>
                <w:webHidden/>
                <w:lang w:val="en-GB"/>
              </w:rPr>
              <w:t>13</w:t>
            </w:r>
          </w:hyperlink>
          <w:r w:rsidRPr="00E413B4">
            <w:rPr>
              <w:webHidden/>
              <w:lang w:val="en-GB"/>
            </w:rPr>
            <w:fldChar w:fldCharType="end"/>
          </w:r>
        </w:p>
        <w:p w14:paraId="7E04AC54" w14:textId="5FFB02AA" w:rsidR="00B126A5" w:rsidRPr="00E413B4" w:rsidRDefault="00B126A5">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5" w:history="1">
            <w:r w:rsidRPr="00E413B4">
              <w:rPr>
                <w:rStyle w:val="Hyperlink"/>
                <w:b/>
                <w:bCs/>
                <w:lang w:val="en-GB"/>
              </w:rPr>
              <w:t xml:space="preserve">5. Sources and resources </w:t>
            </w:r>
          </w:hyperlink>
          <w:r w:rsidRPr="00E413B4">
            <w:rPr>
              <w:webHidden/>
              <w:lang w:val="en-GB"/>
            </w:rPr>
            <w:tab/>
          </w:r>
          <w:r w:rsidRPr="00E413B4">
            <w:rPr>
              <w:webHidden/>
              <w:lang w:val="en-GB"/>
            </w:rPr>
            <w:fldChar w:fldCharType="begin"/>
          </w:r>
          <w:r w:rsidRPr="00E413B4">
            <w:rPr>
              <w:webHidden/>
              <w:lang w:val="en-GB"/>
            </w:rPr>
            <w:instrText xml:space="preserve"> PAGEREF _Toc195167995 \h </w:instrText>
          </w:r>
          <w:r w:rsidRPr="00E413B4">
            <w:rPr>
              <w:webHidden/>
              <w:lang w:val="en-GB"/>
            </w:rPr>
          </w:r>
          <w:r w:rsidRPr="00E413B4">
            <w:rPr>
              <w:webHidden/>
              <w:lang w:val="en-GB"/>
            </w:rPr>
            <w:fldChar w:fldCharType="separate"/>
          </w:r>
          <w:hyperlink w:anchor="_Toc195167995" w:history="1">
            <w:r w:rsidRPr="00E413B4">
              <w:rPr>
                <w:webHidden/>
                <w:lang w:val="en-GB"/>
              </w:rPr>
              <w:t>16</w:t>
            </w:r>
          </w:hyperlink>
          <w:r w:rsidRPr="00E413B4">
            <w:rPr>
              <w:webHidden/>
              <w:lang w:val="en-GB"/>
            </w:rPr>
            <w:fldChar w:fldCharType="end"/>
          </w:r>
        </w:p>
        <w:p w14:paraId="1454156B" w14:textId="210B98D7" w:rsidR="00B126A5" w:rsidRPr="00E413B4" w:rsidRDefault="00B126A5">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5167996" w:history="1">
            <w:r w:rsidRPr="00E413B4">
              <w:rPr>
                <w:rStyle w:val="Hyperlink"/>
                <w:b/>
                <w:bCs/>
                <w:lang w:val="en-GB"/>
              </w:rPr>
              <w:t xml:space="preserve">6. Attachments </w:t>
            </w:r>
          </w:hyperlink>
          <w:r w:rsidRPr="00E413B4">
            <w:rPr>
              <w:webHidden/>
              <w:lang w:val="en-GB"/>
            </w:rPr>
            <w:tab/>
          </w:r>
          <w:r w:rsidRPr="00E413B4">
            <w:rPr>
              <w:webHidden/>
              <w:lang w:val="en-GB"/>
            </w:rPr>
            <w:fldChar w:fldCharType="begin"/>
          </w:r>
          <w:r w:rsidRPr="00E413B4">
            <w:rPr>
              <w:webHidden/>
              <w:lang w:val="en-GB"/>
            </w:rPr>
            <w:instrText xml:space="preserve"> PAGEREF _Toc195167996 \h </w:instrText>
          </w:r>
          <w:r w:rsidRPr="00E413B4">
            <w:rPr>
              <w:webHidden/>
              <w:lang w:val="en-GB"/>
            </w:rPr>
          </w:r>
          <w:r w:rsidRPr="00E413B4">
            <w:rPr>
              <w:webHidden/>
              <w:lang w:val="en-GB"/>
            </w:rPr>
            <w:fldChar w:fldCharType="separate"/>
          </w:r>
          <w:hyperlink w:anchor="_Toc195167996" w:history="1">
            <w:r w:rsidRPr="00E413B4">
              <w:rPr>
                <w:webHidden/>
                <w:lang w:val="en-GB"/>
              </w:rPr>
              <w:t>16</w:t>
            </w:r>
          </w:hyperlink>
          <w:r w:rsidRPr="00E413B4">
            <w:rPr>
              <w:webHidden/>
              <w:lang w:val="en-GB"/>
            </w:rPr>
            <w:fldChar w:fldCharType="end"/>
          </w:r>
        </w:p>
        <w:p w14:paraId="05190F24" w14:textId="78C669EF" w:rsidR="005F6900" w:rsidRPr="00E413B4" w:rsidRDefault="005F6900" w:rsidP="005F6900">
          <w:pPr>
            <w:pStyle w:val="TOC1"/>
            <w:tabs>
              <w:tab w:val="right" w:leader="dot" w:pos="9653"/>
            </w:tabs>
            <w:rPr>
              <w:rFonts w:asciiTheme="minorHAnsi" w:hAnsiTheme="minorHAnsi"/>
              <w:lang w:val="en-GB"/>
            </w:rPr>
          </w:pPr>
          <w:r w:rsidRPr="00E413B4">
            <w:rPr>
              <w:rFonts w:asciiTheme="minorHAnsi" w:hAnsiTheme="minorHAnsi"/>
              <w:b/>
              <w:bCs/>
              <w:lang w:val="en-GB"/>
            </w:rPr>
            <w:fldChar w:fldCharType="end"/>
          </w:r>
        </w:p>
      </w:sdtContent>
    </w:sdt>
    <w:p w14:paraId="2D668B8E" w14:textId="77777777" w:rsidR="005F6900" w:rsidRPr="00E413B4" w:rsidRDefault="005F6900" w:rsidP="005F6900">
      <w:pPr>
        <w:rPr>
          <w:rFonts w:asciiTheme="minorHAnsi" w:hAnsiTheme="minorHAnsi"/>
          <w:lang w:val="en-GB"/>
        </w:rPr>
      </w:pPr>
      <w:r w:rsidRPr="00E413B4">
        <w:rPr>
          <w:rFonts w:asciiTheme="minorHAnsi" w:hAnsiTheme="minorHAnsi"/>
          <w:lang w:val="en-GB"/>
        </w:rPr>
        <w:t xml:space="preserve"> </w:t>
      </w:r>
    </w:p>
    <w:p w14:paraId="52049842" w14:textId="77777777" w:rsidR="005F6900" w:rsidRPr="00E413B4" w:rsidRDefault="005F6900" w:rsidP="005F6900">
      <w:pPr>
        <w:rPr>
          <w:rFonts w:asciiTheme="minorHAnsi" w:hAnsiTheme="minorHAnsi"/>
          <w:lang w:val="en-GB"/>
        </w:rPr>
      </w:pPr>
    </w:p>
    <w:p w14:paraId="1551F55E" w14:textId="77777777" w:rsidR="005F6900" w:rsidRPr="00E413B4" w:rsidRDefault="005F6900" w:rsidP="005F6900">
      <w:pPr>
        <w:rPr>
          <w:rFonts w:asciiTheme="minorHAnsi" w:hAnsiTheme="minorHAnsi"/>
          <w:lang w:val="en-GB"/>
        </w:rPr>
      </w:pPr>
    </w:p>
    <w:p w14:paraId="043EE561" w14:textId="77777777" w:rsidR="005F6900" w:rsidRPr="00E413B4" w:rsidRDefault="005F6900" w:rsidP="005F6900">
      <w:pPr>
        <w:rPr>
          <w:rFonts w:asciiTheme="minorHAnsi" w:hAnsiTheme="minorHAnsi"/>
          <w:lang w:val="en-GB"/>
        </w:rPr>
      </w:pPr>
    </w:p>
    <w:p w14:paraId="7BF25FA0" w14:textId="77777777" w:rsidR="005F6900" w:rsidRPr="00E413B4" w:rsidRDefault="005F6900" w:rsidP="005F6900">
      <w:pPr>
        <w:rPr>
          <w:rFonts w:asciiTheme="minorHAnsi" w:hAnsiTheme="minorHAnsi"/>
          <w:lang w:val="en-GB"/>
        </w:rPr>
      </w:pPr>
    </w:p>
    <w:p w14:paraId="1C4B6F78" w14:textId="77777777" w:rsidR="005F6900" w:rsidRPr="00E413B4" w:rsidRDefault="005F6900" w:rsidP="005F6900">
      <w:pPr>
        <w:rPr>
          <w:rFonts w:asciiTheme="minorHAnsi" w:hAnsiTheme="minorHAnsi"/>
          <w:lang w:val="en-GB"/>
        </w:rPr>
      </w:pPr>
    </w:p>
    <w:p w14:paraId="15000944" w14:textId="77777777" w:rsidR="005F6900" w:rsidRPr="00E413B4" w:rsidRDefault="005F6900" w:rsidP="005F6900">
      <w:pPr>
        <w:rPr>
          <w:rFonts w:asciiTheme="minorHAnsi" w:hAnsiTheme="minorHAnsi"/>
          <w:lang w:val="en-GB"/>
        </w:rPr>
      </w:pPr>
    </w:p>
    <w:p w14:paraId="3D7031CC" w14:textId="77777777" w:rsidR="005F6900" w:rsidRPr="00E413B4" w:rsidRDefault="005F6900" w:rsidP="005F6900">
      <w:pPr>
        <w:rPr>
          <w:rFonts w:asciiTheme="minorHAnsi" w:hAnsiTheme="minorHAnsi"/>
          <w:lang w:val="en-GB"/>
        </w:rPr>
      </w:pPr>
    </w:p>
    <w:p w14:paraId="14332C83" w14:textId="77777777" w:rsidR="005F6900" w:rsidRPr="00E413B4" w:rsidRDefault="005F6900" w:rsidP="005F6900">
      <w:pPr>
        <w:rPr>
          <w:rFonts w:asciiTheme="minorHAnsi" w:hAnsiTheme="minorHAnsi"/>
          <w:lang w:val="en-GB"/>
        </w:rPr>
      </w:pPr>
    </w:p>
    <w:p w14:paraId="0A3F696C" w14:textId="77777777" w:rsidR="005F6900" w:rsidRPr="00E413B4" w:rsidRDefault="005F6900" w:rsidP="005F6900">
      <w:pPr>
        <w:rPr>
          <w:rFonts w:asciiTheme="minorHAnsi" w:hAnsiTheme="minorHAnsi"/>
          <w:lang w:val="en-GB"/>
        </w:rPr>
      </w:pPr>
    </w:p>
    <w:p w14:paraId="3DBC00D1" w14:textId="77777777" w:rsidR="005F6900" w:rsidRPr="00E413B4" w:rsidRDefault="005F6900" w:rsidP="005F6900">
      <w:pPr>
        <w:rPr>
          <w:rFonts w:asciiTheme="minorHAnsi" w:hAnsiTheme="minorHAnsi"/>
          <w:lang w:val="en-GB"/>
        </w:rPr>
      </w:pPr>
    </w:p>
    <w:p w14:paraId="70782EAF" w14:textId="77777777" w:rsidR="005F6900" w:rsidRPr="00E413B4" w:rsidRDefault="005F6900" w:rsidP="005F6900">
      <w:pPr>
        <w:rPr>
          <w:rFonts w:asciiTheme="minorHAnsi" w:hAnsiTheme="minorHAnsi"/>
          <w:lang w:val="en-GB"/>
        </w:rPr>
      </w:pPr>
    </w:p>
    <w:p w14:paraId="4DA3EAD5" w14:textId="77777777" w:rsidR="005F6900" w:rsidRPr="00E413B4" w:rsidRDefault="005F6900" w:rsidP="005F6900">
      <w:pPr>
        <w:rPr>
          <w:rFonts w:asciiTheme="minorHAnsi" w:hAnsiTheme="minorHAnsi"/>
          <w:lang w:val="en-GB"/>
        </w:rPr>
      </w:pPr>
    </w:p>
    <w:p w14:paraId="2474BF94" w14:textId="77777777" w:rsidR="005F6900" w:rsidRPr="00E413B4" w:rsidRDefault="005F6900" w:rsidP="005F6900">
      <w:pPr>
        <w:rPr>
          <w:rFonts w:asciiTheme="minorHAnsi" w:hAnsiTheme="minorHAnsi"/>
          <w:lang w:val="en-GB"/>
        </w:rPr>
      </w:pPr>
    </w:p>
    <w:p w14:paraId="2DE64E35" w14:textId="77777777" w:rsidR="005F6900" w:rsidRPr="00E413B4" w:rsidRDefault="005F6900" w:rsidP="005F6900">
      <w:pPr>
        <w:rPr>
          <w:rFonts w:asciiTheme="minorHAnsi" w:hAnsiTheme="minorHAnsi"/>
          <w:lang w:val="en-GB"/>
        </w:rPr>
      </w:pPr>
    </w:p>
    <w:p w14:paraId="77531EFE" w14:textId="77777777" w:rsidR="005F6900" w:rsidRPr="00E413B4" w:rsidRDefault="005F6900" w:rsidP="005F6900">
      <w:pPr>
        <w:rPr>
          <w:rFonts w:asciiTheme="minorHAnsi" w:hAnsiTheme="minorHAnsi"/>
          <w:lang w:val="en-GB"/>
        </w:rPr>
      </w:pPr>
    </w:p>
    <w:p w14:paraId="4AD8EB03" w14:textId="77777777" w:rsidR="005F6900" w:rsidRPr="00E413B4" w:rsidRDefault="005F6900" w:rsidP="005F6900">
      <w:pPr>
        <w:rPr>
          <w:rFonts w:asciiTheme="minorHAnsi" w:hAnsiTheme="minorHAnsi"/>
          <w:lang w:val="en-GB"/>
        </w:rPr>
      </w:pPr>
    </w:p>
    <w:p w14:paraId="7EBCABED" w14:textId="77777777" w:rsidR="005F6900" w:rsidRPr="00E413B4" w:rsidRDefault="005F6900" w:rsidP="005F6900">
      <w:pPr>
        <w:rPr>
          <w:rFonts w:asciiTheme="minorHAnsi" w:hAnsiTheme="minorHAnsi"/>
          <w:lang w:val="en-GB"/>
        </w:rPr>
      </w:pPr>
    </w:p>
    <w:p w14:paraId="271C9B22" w14:textId="77777777" w:rsidR="005F6900" w:rsidRPr="00E413B4" w:rsidRDefault="005F6900" w:rsidP="005F6900">
      <w:pPr>
        <w:rPr>
          <w:rFonts w:asciiTheme="minorHAnsi" w:hAnsiTheme="minorHAnsi"/>
          <w:lang w:val="en-GB"/>
        </w:rPr>
      </w:pPr>
    </w:p>
    <w:p w14:paraId="0F7840E5" w14:textId="77777777" w:rsidR="005F6900" w:rsidRPr="00E413B4" w:rsidRDefault="005F6900" w:rsidP="005F6900">
      <w:pPr>
        <w:rPr>
          <w:rFonts w:asciiTheme="minorHAnsi" w:hAnsiTheme="minorHAnsi"/>
          <w:lang w:val="en-GB"/>
        </w:rPr>
      </w:pPr>
    </w:p>
    <w:p w14:paraId="135E46FE" w14:textId="77777777" w:rsidR="005F6900" w:rsidRPr="00E413B4" w:rsidRDefault="005F6900" w:rsidP="005F6900">
      <w:pPr>
        <w:rPr>
          <w:rFonts w:asciiTheme="minorHAnsi" w:hAnsiTheme="minorHAnsi"/>
          <w:lang w:val="en-GB"/>
        </w:rPr>
      </w:pPr>
    </w:p>
    <w:p w14:paraId="22D641C9" w14:textId="77777777" w:rsidR="005F6900" w:rsidRPr="00E413B4" w:rsidRDefault="005F6900" w:rsidP="005F6900">
      <w:pPr>
        <w:rPr>
          <w:rFonts w:asciiTheme="minorHAnsi" w:hAnsiTheme="minorHAnsi"/>
          <w:lang w:val="en-GB"/>
        </w:rPr>
      </w:pPr>
    </w:p>
    <w:p w14:paraId="10A688C0" w14:textId="77777777" w:rsidR="005F6900" w:rsidRPr="00E413B4" w:rsidRDefault="005F6900" w:rsidP="005F6900">
      <w:pPr>
        <w:rPr>
          <w:rFonts w:asciiTheme="minorHAnsi" w:hAnsiTheme="minorHAnsi"/>
          <w:lang w:val="en-GB"/>
        </w:rPr>
      </w:pPr>
    </w:p>
    <w:p w14:paraId="5FD8E139" w14:textId="77777777" w:rsidR="005F6900" w:rsidRPr="00E413B4" w:rsidRDefault="005F6900" w:rsidP="005F6900">
      <w:pPr>
        <w:rPr>
          <w:rFonts w:asciiTheme="minorHAnsi" w:hAnsiTheme="minorHAnsi"/>
          <w:lang w:val="en-GB"/>
        </w:rPr>
      </w:pPr>
    </w:p>
    <w:p w14:paraId="1E453FBF" w14:textId="77777777" w:rsidR="005F6900" w:rsidRPr="00E413B4" w:rsidRDefault="005F6900" w:rsidP="005F6900">
      <w:pPr>
        <w:rPr>
          <w:rFonts w:asciiTheme="minorHAnsi" w:hAnsiTheme="minorHAnsi"/>
          <w:lang w:val="en-GB"/>
        </w:rPr>
      </w:pPr>
    </w:p>
    <w:p w14:paraId="61AB3569" w14:textId="77777777" w:rsidR="005F6900" w:rsidRPr="00E413B4" w:rsidRDefault="005F6900" w:rsidP="005F6900">
      <w:pPr>
        <w:rPr>
          <w:rFonts w:asciiTheme="minorHAnsi" w:hAnsiTheme="minorHAnsi"/>
          <w:lang w:val="en-GB"/>
        </w:rPr>
      </w:pPr>
    </w:p>
    <w:p w14:paraId="002CF1BD" w14:textId="77777777" w:rsidR="005F6900" w:rsidRPr="00E413B4" w:rsidRDefault="005F6900" w:rsidP="005F6900">
      <w:pPr>
        <w:rPr>
          <w:rFonts w:asciiTheme="minorHAnsi" w:hAnsiTheme="minorHAnsi"/>
          <w:lang w:val="en-GB"/>
        </w:rPr>
      </w:pPr>
    </w:p>
    <w:p w14:paraId="5742850C" w14:textId="77777777" w:rsidR="005F6900" w:rsidRPr="00E413B4" w:rsidRDefault="005F6900" w:rsidP="005F6900">
      <w:pPr>
        <w:rPr>
          <w:rFonts w:asciiTheme="minorHAnsi" w:hAnsiTheme="minorHAnsi"/>
          <w:lang w:val="en-GB"/>
        </w:rPr>
      </w:pPr>
    </w:p>
    <w:p w14:paraId="40A287BF" w14:textId="5D291AD9" w:rsidR="005F6900" w:rsidRPr="00E413B4" w:rsidRDefault="005F6900" w:rsidP="79180EEC">
      <w:pPr>
        <w:pStyle w:val="Heading1"/>
        <w:spacing w:before="0" w:after="0"/>
        <w:rPr>
          <w:rFonts w:asciiTheme="minorHAnsi" w:hAnsiTheme="minorHAnsi" w:cstheme="minorBidi"/>
          <w:b/>
          <w:bCs/>
          <w:color w:val="auto"/>
          <w:sz w:val="22"/>
          <w:szCs w:val="22"/>
          <w:lang w:val="en-GB"/>
        </w:rPr>
      </w:pPr>
      <w:bookmarkStart w:id="0" w:name="_Toc195167988"/>
      <w:r w:rsidRPr="79180EEC">
        <w:rPr>
          <w:rFonts w:asciiTheme="minorHAnsi" w:hAnsiTheme="minorHAnsi" w:cstheme="minorBidi"/>
          <w:b/>
          <w:bCs/>
          <w:color w:val="auto"/>
          <w:sz w:val="22"/>
          <w:szCs w:val="22"/>
          <w:lang w:val="en-GB"/>
        </w:rPr>
        <w:t>1. Introduction</w:t>
      </w:r>
      <w:bookmarkEnd w:id="0"/>
    </w:p>
    <w:p w14:paraId="363E892C" w14:textId="77777777" w:rsidR="005F6900" w:rsidRPr="00E413B4" w:rsidRDefault="005F6900" w:rsidP="005F6900">
      <w:pPr>
        <w:rPr>
          <w:rFonts w:asciiTheme="minorHAnsi" w:hAnsiTheme="minorHAnsi"/>
          <w:lang w:val="en-GB"/>
        </w:rPr>
      </w:pPr>
    </w:p>
    <w:p w14:paraId="18212E36" w14:textId="067294FE" w:rsidR="005F6900" w:rsidRPr="00E413B4" w:rsidRDefault="005F6900" w:rsidP="79180EEC">
      <w:pPr>
        <w:tabs>
          <w:tab w:val="left" w:pos="3708"/>
        </w:tabs>
        <w:jc w:val="both"/>
        <w:rPr>
          <w:rFonts w:asciiTheme="minorHAnsi" w:hAnsiTheme="minorHAnsi"/>
          <w:lang w:val="en-GB"/>
        </w:rPr>
      </w:pPr>
      <w:r w:rsidRPr="79180EEC">
        <w:rPr>
          <w:rFonts w:asciiTheme="minorHAnsi" w:hAnsiTheme="minorHAnsi"/>
          <w:lang w:val="en-GB"/>
        </w:rPr>
        <w:lastRenderedPageBreak/>
        <w:t xml:space="preserve">Green business is a business practice </w:t>
      </w:r>
      <w:r w:rsidR="001A0C68" w:rsidRPr="79180EEC">
        <w:rPr>
          <w:rFonts w:asciiTheme="minorHAnsi" w:hAnsiTheme="minorHAnsi"/>
          <w:lang w:val="en-GB"/>
        </w:rPr>
        <w:t>aimed at reducing</w:t>
      </w:r>
      <w:r w:rsidRPr="79180EEC">
        <w:rPr>
          <w:rFonts w:asciiTheme="minorHAnsi" w:hAnsiTheme="minorHAnsi"/>
          <w:lang w:val="en-GB"/>
        </w:rPr>
        <w:t xml:space="preserve"> negative impacts on the environment, society, and the economy, while generating profits. Entrepreneurs </w:t>
      </w:r>
      <w:r w:rsidR="001A221D" w:rsidRPr="79180EEC">
        <w:rPr>
          <w:rFonts w:asciiTheme="minorHAnsi" w:hAnsiTheme="minorHAnsi"/>
          <w:lang w:val="en-GB"/>
        </w:rPr>
        <w:t>applying</w:t>
      </w:r>
      <w:r w:rsidRPr="79180EEC">
        <w:rPr>
          <w:rFonts w:asciiTheme="minorHAnsi" w:hAnsiTheme="minorHAnsi"/>
          <w:lang w:val="en-GB"/>
        </w:rPr>
        <w:t xml:space="preserve"> sustainability </w:t>
      </w:r>
      <w:r w:rsidR="001A221D" w:rsidRPr="79180EEC">
        <w:rPr>
          <w:rFonts w:asciiTheme="minorHAnsi" w:hAnsiTheme="minorHAnsi"/>
          <w:lang w:val="en-GB"/>
        </w:rPr>
        <w:t xml:space="preserve">principles </w:t>
      </w:r>
      <w:r w:rsidRPr="79180EEC">
        <w:rPr>
          <w:rFonts w:asciiTheme="minorHAnsi" w:hAnsiTheme="minorHAnsi"/>
          <w:lang w:val="en-GB"/>
        </w:rPr>
        <w:t xml:space="preserve">in their business balance profit </w:t>
      </w:r>
      <w:r w:rsidR="00BF42E4" w:rsidRPr="79180EEC">
        <w:rPr>
          <w:rFonts w:asciiTheme="minorHAnsi" w:hAnsiTheme="minorHAnsi"/>
          <w:lang w:val="en-GB"/>
        </w:rPr>
        <w:t xml:space="preserve">with </w:t>
      </w:r>
      <w:r w:rsidRPr="79180EEC">
        <w:rPr>
          <w:rFonts w:asciiTheme="minorHAnsi" w:hAnsiTheme="minorHAnsi"/>
          <w:lang w:val="en-GB"/>
        </w:rPr>
        <w:t xml:space="preserve">the conservation of natural resources. Green businesses not only optimize their production </w:t>
      </w:r>
      <w:r w:rsidR="00E413B4" w:rsidRPr="79180EEC">
        <w:rPr>
          <w:rFonts w:asciiTheme="minorHAnsi" w:hAnsiTheme="minorHAnsi"/>
          <w:lang w:val="en-GB"/>
        </w:rPr>
        <w:t>processes but</w:t>
      </w:r>
      <w:r w:rsidRPr="79180EEC">
        <w:rPr>
          <w:rFonts w:asciiTheme="minorHAnsi" w:hAnsiTheme="minorHAnsi"/>
          <w:lang w:val="en-GB"/>
        </w:rPr>
        <w:t xml:space="preserve"> also offer products and services </w:t>
      </w:r>
      <w:r w:rsidR="009553AC" w:rsidRPr="79180EEC">
        <w:rPr>
          <w:rFonts w:asciiTheme="minorHAnsi" w:hAnsiTheme="minorHAnsi"/>
          <w:lang w:val="en-GB"/>
        </w:rPr>
        <w:t xml:space="preserve">with </w:t>
      </w:r>
      <w:r w:rsidRPr="79180EEC">
        <w:rPr>
          <w:rFonts w:asciiTheme="minorHAnsi" w:hAnsiTheme="minorHAnsi"/>
          <w:lang w:val="en-GB"/>
        </w:rPr>
        <w:t>minimal negative impacts on the environment.</w:t>
      </w:r>
    </w:p>
    <w:p w14:paraId="4BF67D32" w14:textId="77777777" w:rsidR="005F6900" w:rsidRPr="00E413B4" w:rsidRDefault="005F6900" w:rsidP="005F6900">
      <w:pPr>
        <w:tabs>
          <w:tab w:val="left" w:pos="3708"/>
        </w:tabs>
        <w:jc w:val="both"/>
        <w:rPr>
          <w:rFonts w:asciiTheme="minorHAnsi" w:hAnsiTheme="minorHAnsi"/>
          <w:lang w:val="en-GB"/>
        </w:rPr>
      </w:pPr>
    </w:p>
    <w:p w14:paraId="4A2DCE1E" w14:textId="3C6D4E1C" w:rsidR="005F6900" w:rsidRPr="00E413B4" w:rsidRDefault="005F6900" w:rsidP="79180EEC">
      <w:pPr>
        <w:tabs>
          <w:tab w:val="left" w:pos="3708"/>
        </w:tabs>
        <w:jc w:val="both"/>
        <w:rPr>
          <w:rFonts w:asciiTheme="minorHAnsi" w:hAnsiTheme="minorHAnsi"/>
          <w:lang w:val="en-GB"/>
        </w:rPr>
      </w:pPr>
      <w:r w:rsidRPr="79180EEC">
        <w:rPr>
          <w:rFonts w:asciiTheme="minorHAnsi" w:hAnsiTheme="minorHAnsi"/>
          <w:lang w:val="en-GB"/>
        </w:rPr>
        <w:t>All businesses, regardless of size, have the potential to green their operations</w:t>
      </w:r>
      <w:r w:rsidR="005A4AFE" w:rsidRPr="79180EEC">
        <w:rPr>
          <w:rFonts w:asciiTheme="minorHAnsi" w:hAnsiTheme="minorHAnsi"/>
          <w:lang w:val="en-GB"/>
        </w:rPr>
        <w:t>,</w:t>
      </w:r>
      <w:r w:rsidRPr="79180EEC">
        <w:rPr>
          <w:rFonts w:asciiTheme="minorHAnsi" w:hAnsiTheme="minorHAnsi"/>
          <w:lang w:val="en-GB"/>
        </w:rPr>
        <w:t xml:space="preserve"> whether through more efficient use of resources, reduced greenhouse gas emissions, or switching to renewable energy sources. Shifting your business towards sustainability brings multiple benefits, including long-term savings, improved competitiveness in domestic and international markets, and access to new sources of financing.</w:t>
      </w:r>
    </w:p>
    <w:p w14:paraId="5A491E67" w14:textId="77777777" w:rsidR="005F6900" w:rsidRPr="00E413B4" w:rsidRDefault="005F6900" w:rsidP="005F6900">
      <w:pPr>
        <w:tabs>
          <w:tab w:val="left" w:pos="3708"/>
        </w:tabs>
        <w:jc w:val="both"/>
        <w:rPr>
          <w:rFonts w:asciiTheme="minorHAnsi" w:hAnsiTheme="minorHAnsi"/>
          <w:lang w:val="en-GB"/>
        </w:rPr>
      </w:pPr>
    </w:p>
    <w:p w14:paraId="42203686" w14:textId="7C297EC5" w:rsidR="005F6900" w:rsidRPr="00E413B4" w:rsidRDefault="00BD4D22" w:rsidP="79180EEC">
      <w:pPr>
        <w:tabs>
          <w:tab w:val="left" w:pos="3708"/>
        </w:tabs>
        <w:jc w:val="both"/>
        <w:rPr>
          <w:rFonts w:asciiTheme="minorHAnsi" w:hAnsiTheme="minorHAnsi"/>
          <w:lang w:val="en-GB"/>
        </w:rPr>
      </w:pPr>
      <w:r w:rsidRPr="79180EEC">
        <w:rPr>
          <w:rFonts w:asciiTheme="minorHAnsi" w:hAnsiTheme="minorHAnsi"/>
          <w:lang w:val="en-GB"/>
        </w:rPr>
        <w:t>Several</w:t>
      </w:r>
      <w:r w:rsidR="005F6900" w:rsidRPr="79180EEC">
        <w:rPr>
          <w:rFonts w:asciiTheme="minorHAnsi" w:hAnsiTheme="minorHAnsi"/>
          <w:lang w:val="en-GB"/>
        </w:rPr>
        <w:t xml:space="preserve"> businesses in Serbia and North Macedonia have already recognized the benefits of green transformation and have invested in energy-efficient technologies, such as solar panels. While there is significant potential for further progress, barriers such as lack of capital, limited green skills, and lack of information about available green incentives and public procurement often slow down the spread of green practices.</w:t>
      </w:r>
    </w:p>
    <w:p w14:paraId="68D89C1A" w14:textId="77777777" w:rsidR="005F6900" w:rsidRPr="00E413B4" w:rsidRDefault="005F6900" w:rsidP="005F6900">
      <w:pPr>
        <w:tabs>
          <w:tab w:val="left" w:pos="3708"/>
        </w:tabs>
        <w:jc w:val="both"/>
        <w:rPr>
          <w:rFonts w:asciiTheme="minorHAnsi" w:hAnsiTheme="minorHAnsi"/>
          <w:lang w:val="en-GB"/>
        </w:rPr>
      </w:pPr>
    </w:p>
    <w:p w14:paraId="3C6F3D9C" w14:textId="25AEFD8E" w:rsidR="003B578E" w:rsidRPr="00E413B4" w:rsidRDefault="00995A03" w:rsidP="79180EEC">
      <w:pPr>
        <w:tabs>
          <w:tab w:val="left" w:pos="3708"/>
        </w:tabs>
        <w:jc w:val="both"/>
        <w:rPr>
          <w:rFonts w:asciiTheme="minorHAnsi" w:hAnsiTheme="minorHAnsi"/>
          <w:lang w:val="en-GB"/>
        </w:rPr>
      </w:pPr>
      <w:bookmarkStart w:id="1" w:name="_Hlk193966781"/>
      <w:r w:rsidRPr="79180EEC">
        <w:rPr>
          <w:rFonts w:asciiTheme="minorHAnsi" w:hAnsiTheme="minorHAnsi"/>
          <w:lang w:val="en-GB"/>
        </w:rPr>
        <w:t xml:space="preserve">The Green Way – A Partnership for Green Business </w:t>
      </w:r>
      <w:r w:rsidR="004121CD" w:rsidRPr="79180EEC">
        <w:rPr>
          <w:rFonts w:asciiTheme="minorHAnsi" w:hAnsiTheme="minorHAnsi"/>
          <w:lang w:val="en-GB"/>
        </w:rPr>
        <w:t xml:space="preserve">project </w:t>
      </w:r>
      <w:r w:rsidR="003B578E" w:rsidRPr="79180EEC">
        <w:rPr>
          <w:rFonts w:asciiTheme="minorHAnsi" w:hAnsiTheme="minorHAnsi"/>
          <w:lang w:val="en-GB"/>
        </w:rPr>
        <w:t xml:space="preserve">under the Erasmus+ Programme (hereinafter: the project) aims to support the development of green skills in Small and Medium-sized Enterprises (SMEs) and business support organisations (BSOs) from Serbia and North Macedonia. This project is a joint initiative between the Development Centre of the Jablanica and </w:t>
      </w:r>
      <w:proofErr w:type="spellStart"/>
      <w:r w:rsidR="003B578E" w:rsidRPr="79180EEC">
        <w:rPr>
          <w:rFonts w:asciiTheme="minorHAnsi" w:hAnsiTheme="minorHAnsi"/>
          <w:lang w:val="en-GB"/>
        </w:rPr>
        <w:t>Pcinja</w:t>
      </w:r>
      <w:proofErr w:type="spellEnd"/>
      <w:r w:rsidR="003B578E" w:rsidRPr="79180EEC">
        <w:rPr>
          <w:rFonts w:asciiTheme="minorHAnsi" w:hAnsiTheme="minorHAnsi"/>
          <w:lang w:val="en-GB"/>
        </w:rPr>
        <w:t xml:space="preserve"> Districts from Serbia and the Chamber of Crafts from Skopje, North Macedonia. The overall objective of the project is to support the development of green skills in SMEs and BSOs from Serbia and North Macedonia through transnational partnership, exchange, sharing of educational resources and cooperation in the field of joint development and testing of practical methods and training for greening businesses.</w:t>
      </w:r>
    </w:p>
    <w:p w14:paraId="110A1B90" w14:textId="444F28A8" w:rsidR="005F6900" w:rsidRPr="00E413B4" w:rsidRDefault="005F6900" w:rsidP="79180EEC">
      <w:pPr>
        <w:tabs>
          <w:tab w:val="left" w:pos="3708"/>
        </w:tabs>
        <w:jc w:val="both"/>
        <w:rPr>
          <w:rFonts w:asciiTheme="minorHAnsi" w:hAnsiTheme="minorHAnsi"/>
          <w:lang w:val="en-GB"/>
        </w:rPr>
      </w:pPr>
    </w:p>
    <w:p w14:paraId="3EFFA5D2" w14:textId="77777777" w:rsidR="00B43524" w:rsidRPr="00E413B4" w:rsidRDefault="00B43524" w:rsidP="79180EEC">
      <w:pPr>
        <w:tabs>
          <w:tab w:val="left" w:pos="3708"/>
        </w:tabs>
        <w:jc w:val="both"/>
        <w:rPr>
          <w:rFonts w:asciiTheme="minorHAnsi" w:hAnsiTheme="minorHAnsi"/>
          <w:lang w:val="en-GB"/>
        </w:rPr>
      </w:pPr>
      <w:r w:rsidRPr="79180EEC">
        <w:rPr>
          <w:rFonts w:asciiTheme="minorHAnsi" w:hAnsiTheme="minorHAnsi"/>
          <w:lang w:val="en-GB"/>
        </w:rPr>
        <w:t xml:space="preserve">The implementation of the project enables learning paths and the implementation of simple and practical solutions for greening businesses. These paths are traced through three specific objectives, namely: 1) equip trainers/educators from business support organisations with new competencies (skills, knowledge, attitudes) and tools for greening businesses; 2) develop and test </w:t>
      </w:r>
      <w:proofErr w:type="spellStart"/>
      <w:r w:rsidRPr="79180EEC">
        <w:rPr>
          <w:rFonts w:asciiTheme="minorHAnsi" w:hAnsiTheme="minorHAnsi"/>
          <w:lang w:val="en-GB"/>
        </w:rPr>
        <w:t>customizsed</w:t>
      </w:r>
      <w:proofErr w:type="spellEnd"/>
      <w:r w:rsidRPr="79180EEC">
        <w:rPr>
          <w:rFonts w:asciiTheme="minorHAnsi" w:hAnsiTheme="minorHAnsi"/>
          <w:lang w:val="en-GB"/>
        </w:rPr>
        <w:t xml:space="preserve"> training methodologies, training curricula and training modules for greening businesses; 3) stimulate the green transition of SMEs and socio-economic partners through the exchange of best practices and experiences in greening businesses.</w:t>
      </w:r>
    </w:p>
    <w:p w14:paraId="07778709" w14:textId="6B3F03A9" w:rsidR="005F6900" w:rsidRPr="00E413B4" w:rsidRDefault="003455E2" w:rsidP="79180EEC">
      <w:pPr>
        <w:tabs>
          <w:tab w:val="left" w:pos="3708"/>
        </w:tabs>
        <w:jc w:val="both"/>
        <w:rPr>
          <w:rFonts w:asciiTheme="minorHAnsi" w:hAnsiTheme="minorHAnsi"/>
          <w:lang w:val="en-GB"/>
        </w:rPr>
      </w:pPr>
      <w:r w:rsidRPr="79180EEC">
        <w:rPr>
          <w:rFonts w:asciiTheme="minorHAnsi" w:hAnsiTheme="minorHAnsi"/>
          <w:lang w:val="en-GB"/>
        </w:rPr>
        <w:t>organisations</w:t>
      </w:r>
    </w:p>
    <w:p w14:paraId="534D3F52" w14:textId="0B0C398D" w:rsidR="005F6900" w:rsidRPr="00E413B4" w:rsidRDefault="005F6900" w:rsidP="79180EEC">
      <w:pPr>
        <w:tabs>
          <w:tab w:val="left" w:pos="3708"/>
        </w:tabs>
        <w:jc w:val="both"/>
        <w:rPr>
          <w:rFonts w:asciiTheme="minorHAnsi" w:hAnsiTheme="minorHAnsi"/>
          <w:lang w:val="en-GB"/>
        </w:rPr>
      </w:pPr>
      <w:r w:rsidRPr="79180EEC">
        <w:rPr>
          <w:rFonts w:asciiTheme="minorHAnsi" w:hAnsiTheme="minorHAnsi"/>
          <w:lang w:val="en-GB"/>
        </w:rPr>
        <w:t xml:space="preserve">The direct beneficiaries of the project are business and public entities from Serbia and North Macedonia, namely: 20 business support </w:t>
      </w:r>
      <w:r w:rsidR="003455E2" w:rsidRPr="79180EEC">
        <w:rPr>
          <w:rFonts w:asciiTheme="minorHAnsi" w:hAnsiTheme="minorHAnsi"/>
          <w:lang w:val="en-GB"/>
        </w:rPr>
        <w:t>organisations</w:t>
      </w:r>
      <w:r w:rsidRPr="79180EEC">
        <w:rPr>
          <w:rFonts w:asciiTheme="minorHAnsi" w:hAnsiTheme="minorHAnsi"/>
          <w:lang w:val="en-GB"/>
        </w:rPr>
        <w:t>; 2 project partners; 60 SMEs operating in the processing industry sector (</w:t>
      </w:r>
      <w:r w:rsidR="00C202AF" w:rsidRPr="79180EEC">
        <w:rPr>
          <w:rFonts w:asciiTheme="minorHAnsi" w:hAnsiTheme="minorHAnsi"/>
        </w:rPr>
        <w:t>food, wood, metal and leather processing, chemical products, textiles, clothing and footwear production</w:t>
      </w:r>
      <w:r w:rsidRPr="79180EEC">
        <w:rPr>
          <w:rFonts w:asciiTheme="minorHAnsi" w:hAnsiTheme="minorHAnsi"/>
          <w:lang w:val="en-GB"/>
        </w:rPr>
        <w:t xml:space="preserve">) and 30 socio-economic partners (national, regional and local authorities, business service providers, educational and research institutions, etc.).Although the project is primarily intended for business support </w:t>
      </w:r>
      <w:r w:rsidR="003455E2" w:rsidRPr="79180EEC">
        <w:rPr>
          <w:rFonts w:asciiTheme="minorHAnsi" w:hAnsiTheme="minorHAnsi"/>
          <w:lang w:val="en-GB"/>
        </w:rPr>
        <w:t>organisations</w:t>
      </w:r>
      <w:r w:rsidRPr="79180EEC">
        <w:rPr>
          <w:rFonts w:asciiTheme="minorHAnsi" w:hAnsiTheme="minorHAnsi"/>
          <w:lang w:val="en-GB"/>
        </w:rPr>
        <w:t xml:space="preserve"> and SMEs from the manufacturing sector, the project results can be used by anyone interested in increasing resource efficiency and the green transition of business.</w:t>
      </w:r>
    </w:p>
    <w:p w14:paraId="55831204" w14:textId="77777777" w:rsidR="005F6900" w:rsidRPr="00E413B4" w:rsidRDefault="005F6900" w:rsidP="005F6900">
      <w:pPr>
        <w:tabs>
          <w:tab w:val="left" w:pos="3708"/>
        </w:tabs>
        <w:jc w:val="both"/>
        <w:rPr>
          <w:rFonts w:asciiTheme="minorHAnsi" w:hAnsiTheme="minorHAnsi"/>
          <w:lang w:val="en-GB"/>
        </w:rPr>
      </w:pPr>
    </w:p>
    <w:p w14:paraId="20570C81" w14:textId="7AFCDB87" w:rsidR="005F6900" w:rsidRPr="00E413B4" w:rsidRDefault="005F6900" w:rsidP="005F6900">
      <w:pPr>
        <w:tabs>
          <w:tab w:val="left" w:pos="3708"/>
        </w:tabs>
        <w:jc w:val="both"/>
        <w:rPr>
          <w:lang w:val="en-GB"/>
        </w:rPr>
      </w:pPr>
      <w:r w:rsidRPr="79180EEC">
        <w:rPr>
          <w:rFonts w:asciiTheme="minorHAnsi" w:hAnsiTheme="minorHAnsi"/>
          <w:lang w:val="en-GB"/>
        </w:rPr>
        <w:t xml:space="preserve">The planned implementation period of the project is 18 months. </w:t>
      </w:r>
      <w:bookmarkStart w:id="2" w:name="_Hlk191532386"/>
      <w:r w:rsidR="00221B1B" w:rsidRPr="79180EEC">
        <w:rPr>
          <w:lang w:val="en-GB"/>
        </w:rPr>
        <w:t>To</w:t>
      </w:r>
      <w:r w:rsidRPr="79180EEC">
        <w:rPr>
          <w:lang w:val="en-GB"/>
        </w:rPr>
        <w:t xml:space="preserve"> increase resource efficiency and achieve a green transition in Serbia and North Macedonia, it is necessary to acquire green skills, </w:t>
      </w:r>
      <w:r w:rsidR="00FC0FBE" w:rsidRPr="79180EEC">
        <w:rPr>
          <w:lang w:val="en-GB"/>
        </w:rPr>
        <w:t xml:space="preserve">apply </w:t>
      </w:r>
      <w:r w:rsidRPr="79180EEC">
        <w:rPr>
          <w:lang w:val="en-GB"/>
        </w:rPr>
        <w:t xml:space="preserve">green business tools, </w:t>
      </w:r>
      <w:r w:rsidR="00FC0FBE" w:rsidRPr="79180EEC">
        <w:rPr>
          <w:lang w:val="en-GB"/>
        </w:rPr>
        <w:t xml:space="preserve">and foster </w:t>
      </w:r>
      <w:r w:rsidRPr="79180EEC">
        <w:rPr>
          <w:lang w:val="en-GB"/>
        </w:rPr>
        <w:t xml:space="preserve">cooperation and </w:t>
      </w:r>
      <w:r w:rsidR="00F725F3" w:rsidRPr="79180EEC">
        <w:rPr>
          <w:lang w:val="en-GB"/>
        </w:rPr>
        <w:t xml:space="preserve">the </w:t>
      </w:r>
      <w:r w:rsidRPr="79180EEC">
        <w:rPr>
          <w:lang w:val="en-GB"/>
        </w:rPr>
        <w:t xml:space="preserve">transfer of best green practices. A prerequisite on this path is the development of green business tools, and one of the tools is this Practical Guide to Green Financing for </w:t>
      </w:r>
      <w:r w:rsidR="00A738D2" w:rsidRPr="79180EEC">
        <w:rPr>
          <w:lang w:val="en-GB"/>
        </w:rPr>
        <w:t>SMEs</w:t>
      </w:r>
      <w:r w:rsidRPr="79180EEC">
        <w:rPr>
          <w:lang w:val="en-GB"/>
        </w:rPr>
        <w:t xml:space="preserve"> and </w:t>
      </w:r>
      <w:r w:rsidR="00A738D2" w:rsidRPr="79180EEC">
        <w:rPr>
          <w:lang w:val="en-GB"/>
        </w:rPr>
        <w:t>e</w:t>
      </w:r>
      <w:r w:rsidRPr="79180EEC">
        <w:rPr>
          <w:lang w:val="en-GB"/>
        </w:rPr>
        <w:t>ntrepreneurs.</w:t>
      </w:r>
    </w:p>
    <w:bookmarkEnd w:id="1"/>
    <w:p w14:paraId="56ECC390" w14:textId="732F7BAA" w:rsidR="005F6900" w:rsidRPr="00E413B4" w:rsidRDefault="005F6900" w:rsidP="005F6900">
      <w:pPr>
        <w:tabs>
          <w:tab w:val="left" w:pos="3708"/>
        </w:tabs>
        <w:jc w:val="both"/>
        <w:rPr>
          <w:lang w:val="en-GB"/>
        </w:rPr>
      </w:pPr>
      <w:r w:rsidRPr="79180EEC">
        <w:rPr>
          <w:lang w:val="en-GB"/>
        </w:rPr>
        <w:t xml:space="preserve">The Practical Guide to Green Financing </w:t>
      </w:r>
      <w:r w:rsidR="00FD4DDA" w:rsidRPr="79180EEC">
        <w:rPr>
          <w:lang w:val="en-GB"/>
        </w:rPr>
        <w:t>provides practical</w:t>
      </w:r>
      <w:r w:rsidRPr="79180EEC">
        <w:rPr>
          <w:lang w:val="en-GB"/>
        </w:rPr>
        <w:t xml:space="preserve"> information, step-by-step instructions and resources that will help SMEs and entrepreneurs overcome the challenges of greening their businesses, as well as make the most of the financial and strategic opportunities that green business offers.</w:t>
      </w:r>
    </w:p>
    <w:p w14:paraId="54175F3A" w14:textId="77777777" w:rsidR="005F6900" w:rsidRPr="00E413B4" w:rsidRDefault="005F6900" w:rsidP="005F6900">
      <w:pPr>
        <w:tabs>
          <w:tab w:val="left" w:pos="3708"/>
        </w:tabs>
        <w:jc w:val="both"/>
        <w:rPr>
          <w:rFonts w:asciiTheme="minorHAnsi" w:hAnsiTheme="minorHAnsi"/>
          <w:lang w:val="en-GB"/>
        </w:rPr>
      </w:pPr>
    </w:p>
    <w:p w14:paraId="1FAD0DD6" w14:textId="0B9D3D52" w:rsidR="005F6900" w:rsidRPr="00E413B4" w:rsidRDefault="005F6900" w:rsidP="005F6900">
      <w:pPr>
        <w:tabs>
          <w:tab w:val="left" w:pos="3708"/>
        </w:tabs>
        <w:jc w:val="both"/>
        <w:rPr>
          <w:lang w:val="en-GB"/>
        </w:rPr>
      </w:pPr>
      <w:r w:rsidRPr="79180EEC">
        <w:rPr>
          <w:lang w:val="en-GB"/>
        </w:rPr>
        <w:t xml:space="preserve">The Practical Guide to Green Finance is designed to help (SMEs and entrepreneurs successfully implement green business solutions in their operations and </w:t>
      </w:r>
      <w:r w:rsidR="00F061B0" w:rsidRPr="79180EEC">
        <w:rPr>
          <w:lang w:val="en-GB"/>
        </w:rPr>
        <w:t xml:space="preserve">benefit from </w:t>
      </w:r>
      <w:r w:rsidRPr="79180EEC">
        <w:rPr>
          <w:lang w:val="en-GB"/>
        </w:rPr>
        <w:t xml:space="preserve">the financial incentives available in Serbia and Europe. The Guide presents concrete information and resources that will enable them to overcome the challenges related to greening their businesses, as well as the possibilities of maximizing the financing </w:t>
      </w:r>
      <w:r w:rsidRPr="79180EEC">
        <w:rPr>
          <w:lang w:val="en-GB"/>
        </w:rPr>
        <w:lastRenderedPageBreak/>
        <w:t xml:space="preserve">opportunities provided by the green transition. In today's business environment, sustainability is no longer just an option, but a key factor for competitiveness and long-term growth. SMEs face the challenges of transitioning to green business models, but at the same time </w:t>
      </w:r>
      <w:r w:rsidR="00BE6672" w:rsidRPr="79180EEC">
        <w:rPr>
          <w:lang w:val="en-GB"/>
        </w:rPr>
        <w:t>could</w:t>
      </w:r>
      <w:r w:rsidRPr="79180EEC">
        <w:rPr>
          <w:lang w:val="en-GB"/>
        </w:rPr>
        <w:t xml:space="preserve"> </w:t>
      </w:r>
      <w:r w:rsidR="00686EFA" w:rsidRPr="79180EEC">
        <w:rPr>
          <w:lang w:val="en-GB"/>
        </w:rPr>
        <w:t>benefit from the opportunities offered by</w:t>
      </w:r>
      <w:r w:rsidRPr="79180EEC">
        <w:rPr>
          <w:lang w:val="en-GB"/>
        </w:rPr>
        <w:t xml:space="preserve"> green financing.</w:t>
      </w:r>
    </w:p>
    <w:p w14:paraId="4CF89572" w14:textId="77777777" w:rsidR="005F6900" w:rsidRPr="00E413B4" w:rsidRDefault="005F6900" w:rsidP="005F6900">
      <w:pPr>
        <w:tabs>
          <w:tab w:val="left" w:pos="3708"/>
        </w:tabs>
        <w:jc w:val="both"/>
        <w:rPr>
          <w:lang w:val="en-GB"/>
        </w:rPr>
      </w:pPr>
    </w:p>
    <w:p w14:paraId="778A13EC" w14:textId="77777777" w:rsidR="005F6900" w:rsidRPr="00E413B4" w:rsidRDefault="005F6900" w:rsidP="005F6900">
      <w:pPr>
        <w:tabs>
          <w:tab w:val="left" w:pos="3708"/>
        </w:tabs>
        <w:jc w:val="both"/>
        <w:rPr>
          <w:lang w:val="en-GB"/>
        </w:rPr>
      </w:pPr>
      <w:r w:rsidRPr="00E413B4">
        <w:rPr>
          <w:lang w:val="en-GB"/>
        </w:rPr>
        <w:t>This Green Finance Guide was created with the aim of providing SMEs and entrepreneurs with clear information on available financial instruments that can support their efforts towards energy efficiency, reducing their environmental footprint and circular economy innovations.</w:t>
      </w:r>
    </w:p>
    <w:p w14:paraId="072B38F4" w14:textId="77777777" w:rsidR="005F6900" w:rsidRPr="00E413B4" w:rsidRDefault="005F6900" w:rsidP="005F6900">
      <w:pPr>
        <w:tabs>
          <w:tab w:val="left" w:pos="3708"/>
        </w:tabs>
        <w:jc w:val="both"/>
        <w:rPr>
          <w:lang w:val="en-GB"/>
        </w:rPr>
      </w:pPr>
    </w:p>
    <w:p w14:paraId="203491A1" w14:textId="1C5F3B37" w:rsidR="005F6900" w:rsidRPr="00E413B4" w:rsidRDefault="005F6900" w:rsidP="005F6900">
      <w:pPr>
        <w:tabs>
          <w:tab w:val="left" w:pos="3708"/>
        </w:tabs>
        <w:jc w:val="both"/>
        <w:rPr>
          <w:lang w:val="en-GB"/>
        </w:rPr>
      </w:pPr>
      <w:r w:rsidRPr="79180EEC">
        <w:rPr>
          <w:lang w:val="en-GB"/>
        </w:rPr>
        <w:t xml:space="preserve">By reviewing the key concepts, principles and criteria of green finance, the guide explains how companies can adapt their operations to new sustainability standards and </w:t>
      </w:r>
      <w:r w:rsidR="0096346D" w:rsidRPr="79180EEC">
        <w:rPr>
          <w:lang w:val="en-GB"/>
        </w:rPr>
        <w:t>access</w:t>
      </w:r>
      <w:r w:rsidRPr="79180EEC">
        <w:rPr>
          <w:lang w:val="en-GB"/>
        </w:rPr>
        <w:t xml:space="preserve"> financing </w:t>
      </w:r>
      <w:r w:rsidR="0096346D" w:rsidRPr="79180EEC">
        <w:rPr>
          <w:lang w:val="en-GB"/>
        </w:rPr>
        <w:t xml:space="preserve">for </w:t>
      </w:r>
      <w:r w:rsidRPr="79180EEC">
        <w:rPr>
          <w:lang w:val="en-GB"/>
        </w:rPr>
        <w:t>green investments. It also provides insight into practical examples of successful projects, enabling entrepreneurs to identify the best models for their industry.</w:t>
      </w:r>
    </w:p>
    <w:p w14:paraId="1BC38EAE" w14:textId="77777777" w:rsidR="005F6900" w:rsidRPr="00E413B4" w:rsidRDefault="005F6900" w:rsidP="005F6900">
      <w:pPr>
        <w:tabs>
          <w:tab w:val="left" w:pos="3708"/>
        </w:tabs>
        <w:jc w:val="both"/>
        <w:rPr>
          <w:lang w:val="en-GB"/>
        </w:rPr>
      </w:pPr>
    </w:p>
    <w:p w14:paraId="38455DBD" w14:textId="6DD7091B" w:rsidR="005F6900" w:rsidRPr="00E413B4" w:rsidRDefault="005F6900" w:rsidP="005F6900">
      <w:pPr>
        <w:tabs>
          <w:tab w:val="left" w:pos="3708"/>
        </w:tabs>
        <w:jc w:val="both"/>
        <w:rPr>
          <w:lang w:val="en-GB"/>
        </w:rPr>
      </w:pPr>
      <w:r w:rsidRPr="79180EEC">
        <w:rPr>
          <w:lang w:val="en-GB"/>
        </w:rPr>
        <w:t>Special emphasis is placed on an overview of available green financial instruments in Serbia, including grants, subsidies, soft loans and other types of support. In this way, the guide informs</w:t>
      </w:r>
      <w:r w:rsidR="007819B0" w:rsidRPr="79180EEC">
        <w:rPr>
          <w:lang w:val="en-GB"/>
        </w:rPr>
        <w:t xml:space="preserve"> and </w:t>
      </w:r>
      <w:r w:rsidRPr="79180EEC">
        <w:rPr>
          <w:lang w:val="en-GB"/>
        </w:rPr>
        <w:t xml:space="preserve">motivates businesses to </w:t>
      </w:r>
      <w:r w:rsidR="00DA23C3" w:rsidRPr="79180EEC">
        <w:rPr>
          <w:lang w:val="en-GB"/>
        </w:rPr>
        <w:t xml:space="preserve">seize </w:t>
      </w:r>
      <w:r w:rsidRPr="79180EEC">
        <w:rPr>
          <w:lang w:val="en-GB"/>
        </w:rPr>
        <w:t>the opportunities available to them to improve their business and strengthen their competitiveness in the market. This guide is a useful tool for all entrepreneurs who want to make their business more sustainable and resilient to the challenges of the future.</w:t>
      </w:r>
    </w:p>
    <w:p w14:paraId="5829DBCC" w14:textId="77777777" w:rsidR="005F6900" w:rsidRPr="00E413B4" w:rsidRDefault="005F6900" w:rsidP="005F6900">
      <w:pPr>
        <w:tabs>
          <w:tab w:val="left" w:pos="3708"/>
        </w:tabs>
        <w:jc w:val="both"/>
        <w:rPr>
          <w:lang w:val="en-GB"/>
        </w:rPr>
      </w:pPr>
    </w:p>
    <w:p w14:paraId="387A7DB5" w14:textId="77777777" w:rsidR="005F6900" w:rsidRPr="00E413B4" w:rsidRDefault="005F6900" w:rsidP="005F6900">
      <w:pPr>
        <w:pStyle w:val="Heading1"/>
        <w:spacing w:before="0" w:after="0"/>
        <w:rPr>
          <w:rFonts w:asciiTheme="minorHAnsi" w:hAnsiTheme="minorHAnsi" w:cstheme="minorHAnsi"/>
          <w:b/>
          <w:bCs/>
          <w:color w:val="auto"/>
          <w:sz w:val="22"/>
          <w:szCs w:val="22"/>
          <w:lang w:val="en-GB"/>
        </w:rPr>
      </w:pPr>
      <w:bookmarkStart w:id="3" w:name="_Toc195167989"/>
      <w:bookmarkEnd w:id="2"/>
      <w:r w:rsidRPr="00E413B4">
        <w:rPr>
          <w:rFonts w:asciiTheme="minorHAnsi" w:hAnsiTheme="minorHAnsi" w:cstheme="minorHAnsi"/>
          <w:b/>
          <w:bCs/>
          <w:color w:val="auto"/>
          <w:sz w:val="22"/>
          <w:szCs w:val="22"/>
          <w:lang w:val="en-GB"/>
        </w:rPr>
        <w:t>2. Green financing for small and medium-sized enterprises and entrepreneurs</w:t>
      </w:r>
      <w:bookmarkEnd w:id="3"/>
    </w:p>
    <w:p w14:paraId="4E3550C2" w14:textId="77777777" w:rsidR="005F6900" w:rsidRPr="00E413B4" w:rsidRDefault="005F6900" w:rsidP="005F6900">
      <w:pPr>
        <w:tabs>
          <w:tab w:val="left" w:pos="3708"/>
        </w:tabs>
        <w:jc w:val="both"/>
        <w:rPr>
          <w:lang w:val="en-GB"/>
        </w:rPr>
      </w:pPr>
    </w:p>
    <w:p w14:paraId="6E6811AB" w14:textId="64DB37B8" w:rsidR="005F6900" w:rsidRPr="00E413B4" w:rsidRDefault="005F6900" w:rsidP="005F6900">
      <w:pPr>
        <w:tabs>
          <w:tab w:val="left" w:pos="3708"/>
        </w:tabs>
        <w:jc w:val="both"/>
        <w:rPr>
          <w:lang w:val="en-GB"/>
        </w:rPr>
      </w:pPr>
      <w:r w:rsidRPr="79180EEC">
        <w:rPr>
          <w:lang w:val="en-GB"/>
        </w:rPr>
        <w:t xml:space="preserve">Green business is a commitment to implementing business practices that mitigate environmental impacts while enabling </w:t>
      </w:r>
      <w:r w:rsidR="003259CB" w:rsidRPr="79180EEC">
        <w:rPr>
          <w:lang w:val="en-GB"/>
        </w:rPr>
        <w:t xml:space="preserve">business </w:t>
      </w:r>
      <w:r w:rsidRPr="79180EEC">
        <w:rPr>
          <w:lang w:val="en-GB"/>
        </w:rPr>
        <w:t xml:space="preserve">profitability. Green business is an instrument for achieving sustainable development, primarily through the sustainable use of resources and renewable energy, as well as the reduction of waste. The production and use of renewable energy refers to any source of usable and renewable energy intended to replace fossil fuel sources without the undesirable consequences of greenhouse gas emissions and other pollutants resulting from the combustion of fossil fuels. Green practices, such as energy efficiency and waste reduction, enable SMEs to adapt to the global business environment and increase their </w:t>
      </w:r>
      <w:r w:rsidR="16521D0B" w:rsidRPr="79180EEC">
        <w:rPr>
          <w:lang w:val="en-GB"/>
        </w:rPr>
        <w:t>competitiveness</w:t>
      </w:r>
      <w:r w:rsidRPr="79180EEC">
        <w:rPr>
          <w:lang w:val="en-GB"/>
        </w:rPr>
        <w:t>.</w:t>
      </w:r>
    </w:p>
    <w:p w14:paraId="297ABC3E" w14:textId="77777777" w:rsidR="005F6900" w:rsidRPr="00E413B4" w:rsidRDefault="005F6900" w:rsidP="005F6900">
      <w:pPr>
        <w:tabs>
          <w:tab w:val="left" w:pos="3708"/>
        </w:tabs>
        <w:jc w:val="both"/>
        <w:rPr>
          <w:lang w:val="en-GB"/>
        </w:rPr>
      </w:pPr>
    </w:p>
    <w:p w14:paraId="64945862" w14:textId="44F6816C" w:rsidR="005F6900" w:rsidRPr="00E413B4" w:rsidRDefault="005F6900" w:rsidP="79180EEC">
      <w:pPr>
        <w:rPr>
          <w:b/>
          <w:bCs/>
          <w:i/>
          <w:iCs/>
          <w:lang w:val="en-GB"/>
        </w:rPr>
      </w:pPr>
      <w:r w:rsidRPr="79180EEC">
        <w:rPr>
          <w:b/>
          <w:bCs/>
          <w:i/>
          <w:iCs/>
          <w:lang w:val="en-GB"/>
        </w:rPr>
        <w:t>What exactly is green financing?</w:t>
      </w:r>
    </w:p>
    <w:p w14:paraId="2A0F9AD8" w14:textId="77777777" w:rsidR="005F6900" w:rsidRPr="00E413B4" w:rsidRDefault="005F6900" w:rsidP="005F6900">
      <w:pPr>
        <w:tabs>
          <w:tab w:val="left" w:pos="3708"/>
        </w:tabs>
        <w:jc w:val="both"/>
        <w:rPr>
          <w:lang w:val="en-GB"/>
        </w:rPr>
      </w:pPr>
    </w:p>
    <w:p w14:paraId="33B411E2" w14:textId="2E87D653" w:rsidR="005F6900" w:rsidRPr="00E413B4" w:rsidRDefault="005F6900" w:rsidP="005F6900">
      <w:pPr>
        <w:tabs>
          <w:tab w:val="left" w:pos="3708"/>
        </w:tabs>
        <w:jc w:val="both"/>
        <w:rPr>
          <w:lang w:val="en-GB"/>
        </w:rPr>
      </w:pPr>
      <w:r w:rsidRPr="79180EEC">
        <w:rPr>
          <w:lang w:val="en-GB"/>
        </w:rPr>
        <w:t xml:space="preserve">Today, the term </w:t>
      </w:r>
      <w:r w:rsidR="0086505A" w:rsidRPr="79180EEC">
        <w:rPr>
          <w:lang w:val="en-GB"/>
        </w:rPr>
        <w:t>’</w:t>
      </w:r>
      <w:r w:rsidRPr="79180EEC">
        <w:rPr>
          <w:lang w:val="en-GB"/>
        </w:rPr>
        <w:t>green finance</w:t>
      </w:r>
      <w:r w:rsidR="0086505A" w:rsidRPr="79180EEC">
        <w:rPr>
          <w:lang w:val="en-GB"/>
        </w:rPr>
        <w:t>’</w:t>
      </w:r>
      <w:r w:rsidRPr="79180EEC">
        <w:rPr>
          <w:lang w:val="en-GB"/>
        </w:rPr>
        <w:t xml:space="preserve"> is increasingly used, denoting the integration of environmental protection principles into financial decisions at all levels. With growing awareness </w:t>
      </w:r>
      <w:r w:rsidR="0021499C" w:rsidRPr="79180EEC">
        <w:rPr>
          <w:lang w:val="en-GB"/>
        </w:rPr>
        <w:t>that natural</w:t>
      </w:r>
      <w:r w:rsidRPr="79180EEC">
        <w:rPr>
          <w:lang w:val="en-GB"/>
        </w:rPr>
        <w:t xml:space="preserve"> resources </w:t>
      </w:r>
      <w:r w:rsidR="003F53EB" w:rsidRPr="79180EEC">
        <w:rPr>
          <w:lang w:val="en-GB"/>
        </w:rPr>
        <w:t xml:space="preserve">are limited </w:t>
      </w:r>
      <w:r w:rsidRPr="79180EEC">
        <w:rPr>
          <w:lang w:val="en-GB"/>
        </w:rPr>
        <w:t xml:space="preserve">and the need for their sustainable use, businesses and individuals increasingly recognize the responsibility of making financial decisions that support ecological balance. This approach not only contributes to environmental </w:t>
      </w:r>
      <w:r w:rsidR="006D60FF" w:rsidRPr="79180EEC">
        <w:rPr>
          <w:lang w:val="en-GB"/>
        </w:rPr>
        <w:t>protection but</w:t>
      </w:r>
      <w:r w:rsidRPr="79180EEC">
        <w:rPr>
          <w:lang w:val="en-GB"/>
        </w:rPr>
        <w:t xml:space="preserve"> also affects long-term economic stability and sustainable development.</w:t>
      </w:r>
    </w:p>
    <w:p w14:paraId="1E1ED489" w14:textId="77777777" w:rsidR="005F6900" w:rsidRPr="00E413B4" w:rsidRDefault="005F6900" w:rsidP="005F6900">
      <w:pPr>
        <w:tabs>
          <w:tab w:val="left" w:pos="3708"/>
        </w:tabs>
        <w:jc w:val="both"/>
        <w:rPr>
          <w:lang w:val="en-GB"/>
        </w:rPr>
      </w:pPr>
    </w:p>
    <w:p w14:paraId="1FCC3F8C" w14:textId="77777777" w:rsidR="005F6900" w:rsidRPr="00E413B4" w:rsidRDefault="005F6900" w:rsidP="005F6900">
      <w:pPr>
        <w:tabs>
          <w:tab w:val="left" w:pos="3708"/>
        </w:tabs>
        <w:jc w:val="both"/>
        <w:rPr>
          <w:lang w:val="en-GB"/>
        </w:rPr>
      </w:pPr>
      <w:r w:rsidRPr="00E413B4">
        <w:rPr>
          <w:lang w:val="en-GB"/>
        </w:rPr>
        <w:t>Green financing is the process of allocating financial resources to projects, products and initiatives that contribute to environmental protection, sustainable development and energy efficiency. In a business context, this concept involves the inclusion of environmental criteria in investment decisions, business models and growth strategies. The aim of green financing is to encourage economic entities to reduce their environmental footprint, optimise resources and improve business sustainability through various mechanisms – from subsidies and soft loans to incentives for the use of renewable energy sources and environmentally friendly technologies.</w:t>
      </w:r>
    </w:p>
    <w:p w14:paraId="79AEA50A" w14:textId="77777777" w:rsidR="005F6900" w:rsidRPr="00E413B4" w:rsidRDefault="005F6900" w:rsidP="005F6900">
      <w:pPr>
        <w:tabs>
          <w:tab w:val="left" w:pos="3708"/>
        </w:tabs>
        <w:jc w:val="both"/>
        <w:rPr>
          <w:lang w:val="en-GB"/>
        </w:rPr>
      </w:pPr>
    </w:p>
    <w:p w14:paraId="3BFE5FE7" w14:textId="6F031A5F" w:rsidR="005F6900" w:rsidRPr="00E413B4" w:rsidRDefault="005F6900" w:rsidP="005F6900">
      <w:pPr>
        <w:tabs>
          <w:tab w:val="left" w:pos="3708"/>
        </w:tabs>
        <w:jc w:val="both"/>
        <w:rPr>
          <w:lang w:val="en-GB"/>
        </w:rPr>
      </w:pPr>
      <w:r w:rsidRPr="79180EEC">
        <w:rPr>
          <w:lang w:val="en-GB"/>
        </w:rPr>
        <w:t>In an increasing number of countries, including Serbia, growing awareness of the need to protect natural resources and reduce the negative impact of industrial activities is leading to the development of financial instruments designed to support entrepreneurs and SMEs in the transition to a green economy.</w:t>
      </w:r>
    </w:p>
    <w:p w14:paraId="28B1F0B8" w14:textId="77777777" w:rsidR="005F6900" w:rsidRPr="00E413B4" w:rsidRDefault="005F6900" w:rsidP="005F6900">
      <w:pPr>
        <w:tabs>
          <w:tab w:val="left" w:pos="3708"/>
        </w:tabs>
        <w:jc w:val="both"/>
        <w:rPr>
          <w:lang w:val="en-GB"/>
        </w:rPr>
      </w:pPr>
    </w:p>
    <w:p w14:paraId="4D6C877A" w14:textId="2DC4A153" w:rsidR="005F6900" w:rsidRPr="00E413B4" w:rsidRDefault="005F6900" w:rsidP="005F6900">
      <w:pPr>
        <w:tabs>
          <w:tab w:val="left" w:pos="3708"/>
        </w:tabs>
        <w:jc w:val="both"/>
        <w:rPr>
          <w:lang w:val="en-GB"/>
        </w:rPr>
      </w:pPr>
      <w:r w:rsidRPr="79180EEC">
        <w:rPr>
          <w:lang w:val="en-GB"/>
        </w:rPr>
        <w:t xml:space="preserve">Green financing involves lending or investing in projects and measures that </w:t>
      </w:r>
      <w:r w:rsidR="00B14DA2" w:rsidRPr="79180EEC">
        <w:rPr>
          <w:lang w:val="en-GB"/>
        </w:rPr>
        <w:t xml:space="preserve">help reduce </w:t>
      </w:r>
      <w:r w:rsidRPr="79180EEC">
        <w:rPr>
          <w:lang w:val="en-GB"/>
        </w:rPr>
        <w:t>consumption of energy and other resources, thereby directly affecting the reduction of greenhouse gas emissions.</w:t>
      </w:r>
    </w:p>
    <w:p w14:paraId="57963BD8" w14:textId="77777777" w:rsidR="005F6900" w:rsidRPr="00E413B4" w:rsidRDefault="005F6900" w:rsidP="005F6900">
      <w:pPr>
        <w:tabs>
          <w:tab w:val="left" w:pos="3708"/>
        </w:tabs>
        <w:jc w:val="both"/>
        <w:rPr>
          <w:lang w:val="en-GB"/>
        </w:rPr>
      </w:pPr>
    </w:p>
    <w:p w14:paraId="3982B638" w14:textId="0E5448E7" w:rsidR="005F6900" w:rsidRPr="00E413B4" w:rsidRDefault="005F6900" w:rsidP="005F6900">
      <w:pPr>
        <w:tabs>
          <w:tab w:val="left" w:pos="3708"/>
        </w:tabs>
        <w:jc w:val="both"/>
        <w:rPr>
          <w:lang w:val="en-GB"/>
        </w:rPr>
      </w:pPr>
      <w:r w:rsidRPr="79180EEC">
        <w:rPr>
          <w:lang w:val="en-GB"/>
        </w:rPr>
        <w:lastRenderedPageBreak/>
        <w:t>In practice, this means investing in energy efficiency, renewable energy sources and other initiatives that have a positive impact on the environment, such as protecting water, air and soil, improving waste management and other sustainable solutions. There are speciali</w:t>
      </w:r>
      <w:r w:rsidR="003754E6" w:rsidRPr="79180EEC">
        <w:rPr>
          <w:lang w:val="en-GB"/>
        </w:rPr>
        <w:t>s</w:t>
      </w:r>
      <w:r w:rsidRPr="79180EEC">
        <w:rPr>
          <w:lang w:val="en-GB"/>
        </w:rPr>
        <w:t xml:space="preserve">ed </w:t>
      </w:r>
      <w:r w:rsidR="003754E6" w:rsidRPr="79180EEC">
        <w:rPr>
          <w:lang w:val="en-GB"/>
        </w:rPr>
        <w:t>’</w:t>
      </w:r>
      <w:r w:rsidRPr="79180EEC">
        <w:rPr>
          <w:lang w:val="en-GB"/>
        </w:rPr>
        <w:t>green banks</w:t>
      </w:r>
      <w:r w:rsidR="003754E6" w:rsidRPr="79180EEC">
        <w:rPr>
          <w:lang w:val="en-GB"/>
        </w:rPr>
        <w:t>’</w:t>
      </w:r>
      <w:r w:rsidRPr="79180EEC">
        <w:rPr>
          <w:lang w:val="en-GB"/>
        </w:rPr>
        <w:t xml:space="preserve"> around the world that deal exclusively with this type of lending, but many other financial institutions also include green financial products in their offerings.</w:t>
      </w:r>
    </w:p>
    <w:p w14:paraId="669559A2" w14:textId="77777777" w:rsidR="005F6900" w:rsidRPr="00E413B4" w:rsidRDefault="005F6900" w:rsidP="005F6900">
      <w:pPr>
        <w:tabs>
          <w:tab w:val="left" w:pos="3708"/>
        </w:tabs>
        <w:jc w:val="both"/>
        <w:rPr>
          <w:lang w:val="en-GB"/>
        </w:rPr>
      </w:pPr>
    </w:p>
    <w:p w14:paraId="0A9C8D26" w14:textId="78A2B32B" w:rsidR="005F6900" w:rsidRPr="00E413B4" w:rsidRDefault="005F6900" w:rsidP="005F6900">
      <w:pPr>
        <w:tabs>
          <w:tab w:val="left" w:pos="3708"/>
        </w:tabs>
        <w:jc w:val="both"/>
        <w:rPr>
          <w:lang w:val="en-GB"/>
        </w:rPr>
      </w:pPr>
      <w:r w:rsidRPr="79180EEC">
        <w:rPr>
          <w:lang w:val="en-GB"/>
        </w:rPr>
        <w:t xml:space="preserve">The term </w:t>
      </w:r>
      <w:r w:rsidR="00A35552" w:rsidRPr="79180EEC">
        <w:rPr>
          <w:lang w:val="en-GB"/>
        </w:rPr>
        <w:t>’</w:t>
      </w:r>
      <w:r w:rsidRPr="79180EEC">
        <w:rPr>
          <w:lang w:val="en-GB"/>
        </w:rPr>
        <w:t>green financing</w:t>
      </w:r>
      <w:r w:rsidR="00A35552" w:rsidRPr="79180EEC">
        <w:rPr>
          <w:lang w:val="en-GB"/>
        </w:rPr>
        <w:t>’</w:t>
      </w:r>
      <w:r w:rsidRPr="79180EEC">
        <w:rPr>
          <w:lang w:val="en-GB"/>
        </w:rPr>
        <w:t xml:space="preserve"> itself has several variations, so it is often expressed in English as </w:t>
      </w:r>
      <w:r w:rsidR="00A35552" w:rsidRPr="79180EEC">
        <w:rPr>
          <w:rFonts w:cs="Calibri"/>
          <w:lang w:val="en-GB"/>
        </w:rPr>
        <w:t>‘</w:t>
      </w:r>
      <w:r w:rsidR="005B0548" w:rsidRPr="79180EEC">
        <w:rPr>
          <w:lang w:val="en-GB"/>
        </w:rPr>
        <w:t>climate finance</w:t>
      </w:r>
      <w:r w:rsidRPr="79180EEC">
        <w:rPr>
          <w:lang w:val="en-GB"/>
        </w:rPr>
        <w:t xml:space="preserve">, </w:t>
      </w:r>
      <w:r w:rsidR="00A92AE4" w:rsidRPr="79180EEC">
        <w:rPr>
          <w:rFonts w:cs="Calibri"/>
          <w:lang w:val="en-GB"/>
        </w:rPr>
        <w:t>‘</w:t>
      </w:r>
      <w:r w:rsidR="005B0548" w:rsidRPr="79180EEC">
        <w:rPr>
          <w:lang w:val="en-GB"/>
        </w:rPr>
        <w:t>mitigation</w:t>
      </w:r>
      <w:r w:rsidRPr="79180EEC">
        <w:rPr>
          <w:lang w:val="en-GB"/>
        </w:rPr>
        <w:t xml:space="preserve"> </w:t>
      </w:r>
      <w:r w:rsidR="005B0548" w:rsidRPr="79180EEC">
        <w:rPr>
          <w:lang w:val="en-GB"/>
        </w:rPr>
        <w:t>and</w:t>
      </w:r>
      <w:r w:rsidRPr="79180EEC">
        <w:rPr>
          <w:lang w:val="en-GB"/>
        </w:rPr>
        <w:t xml:space="preserve"> </w:t>
      </w:r>
      <w:r w:rsidR="005B0548" w:rsidRPr="79180EEC">
        <w:rPr>
          <w:lang w:val="en-GB"/>
        </w:rPr>
        <w:t>adaptation</w:t>
      </w:r>
      <w:r w:rsidRPr="79180EEC">
        <w:rPr>
          <w:lang w:val="en-GB"/>
        </w:rPr>
        <w:t xml:space="preserve"> </w:t>
      </w:r>
      <w:r w:rsidR="005B0548" w:rsidRPr="79180EEC">
        <w:rPr>
          <w:lang w:val="en-GB"/>
        </w:rPr>
        <w:t>finance</w:t>
      </w:r>
      <w:r w:rsidR="00A92AE4" w:rsidRPr="79180EEC">
        <w:rPr>
          <w:lang w:val="en-GB"/>
        </w:rPr>
        <w:t>’</w:t>
      </w:r>
      <w:r w:rsidR="005B0548" w:rsidRPr="79180EEC">
        <w:rPr>
          <w:lang w:val="en-GB"/>
        </w:rPr>
        <w:t xml:space="preserve"> </w:t>
      </w:r>
      <w:r w:rsidRPr="79180EEC">
        <w:rPr>
          <w:lang w:val="en-GB"/>
        </w:rPr>
        <w:t xml:space="preserve">or </w:t>
      </w:r>
      <w:r w:rsidR="00A92AE4" w:rsidRPr="79180EEC">
        <w:rPr>
          <w:rFonts w:cs="Calibri"/>
          <w:lang w:val="en-GB"/>
        </w:rPr>
        <w:t>‘</w:t>
      </w:r>
      <w:r w:rsidR="005B0548" w:rsidRPr="79180EEC">
        <w:rPr>
          <w:lang w:val="en-GB"/>
        </w:rPr>
        <w:t>energy</w:t>
      </w:r>
      <w:r w:rsidRPr="79180EEC">
        <w:rPr>
          <w:lang w:val="en-GB"/>
        </w:rPr>
        <w:t xml:space="preserve"> </w:t>
      </w:r>
      <w:r w:rsidR="005B0548" w:rsidRPr="79180EEC">
        <w:rPr>
          <w:lang w:val="en-GB"/>
        </w:rPr>
        <w:t>efficiency</w:t>
      </w:r>
      <w:r w:rsidRPr="79180EEC">
        <w:rPr>
          <w:lang w:val="en-GB"/>
        </w:rPr>
        <w:t xml:space="preserve"> </w:t>
      </w:r>
      <w:r w:rsidR="005B0548" w:rsidRPr="79180EEC">
        <w:rPr>
          <w:lang w:val="en-GB"/>
        </w:rPr>
        <w:t>and</w:t>
      </w:r>
      <w:r w:rsidRPr="79180EEC">
        <w:rPr>
          <w:lang w:val="en-GB"/>
        </w:rPr>
        <w:t xml:space="preserve"> </w:t>
      </w:r>
      <w:r w:rsidR="005B0548" w:rsidRPr="79180EEC">
        <w:rPr>
          <w:lang w:val="en-GB"/>
        </w:rPr>
        <w:t>renewable</w:t>
      </w:r>
      <w:r w:rsidRPr="79180EEC">
        <w:rPr>
          <w:lang w:val="en-GB"/>
        </w:rPr>
        <w:t xml:space="preserve"> </w:t>
      </w:r>
      <w:r w:rsidR="005B0548" w:rsidRPr="79180EEC">
        <w:rPr>
          <w:lang w:val="en-GB"/>
        </w:rPr>
        <w:t>finance</w:t>
      </w:r>
      <w:r w:rsidR="00A92AE4" w:rsidRPr="79180EEC">
        <w:rPr>
          <w:lang w:val="en-GB"/>
        </w:rPr>
        <w:t>’</w:t>
      </w:r>
      <w:r w:rsidRPr="79180EEC">
        <w:rPr>
          <w:lang w:val="en-GB"/>
        </w:rPr>
        <w:t>. These terms are in international use and are still most often used in our country in their original form.</w:t>
      </w:r>
    </w:p>
    <w:p w14:paraId="32DF907F" w14:textId="77777777" w:rsidR="005F6900" w:rsidRPr="00E413B4" w:rsidRDefault="005F6900" w:rsidP="005F6900">
      <w:pPr>
        <w:tabs>
          <w:tab w:val="left" w:pos="3708"/>
        </w:tabs>
        <w:jc w:val="both"/>
        <w:rPr>
          <w:lang w:val="en-GB"/>
        </w:rPr>
      </w:pPr>
    </w:p>
    <w:p w14:paraId="45B719A0" w14:textId="37302347" w:rsidR="005F6900" w:rsidRPr="00E413B4" w:rsidRDefault="005F6900" w:rsidP="005F6900">
      <w:pPr>
        <w:tabs>
          <w:tab w:val="left" w:pos="3708"/>
        </w:tabs>
        <w:jc w:val="both"/>
        <w:rPr>
          <w:lang w:val="en-GB"/>
        </w:rPr>
      </w:pPr>
      <w:r w:rsidRPr="79180EEC">
        <w:rPr>
          <w:lang w:val="en-GB"/>
        </w:rPr>
        <w:t>Green finance is closely linked to the global challenges of climate change and plays a key role in fostering sustainable development. Its importance has increased particularly after the Paris Agreement of 2015, when almost 200 countries committed to reducing carbon dioxide emissions compared to 1990 levels. The aim of this agreement is to limit the increase in global temperatures to below 2</w:t>
      </w:r>
      <w:r w:rsidR="00097BAD" w:rsidRPr="79180EEC">
        <w:rPr>
          <w:lang w:val="en-GB"/>
        </w:rPr>
        <w:t xml:space="preserve"> </w:t>
      </w:r>
      <w:r w:rsidRPr="79180EEC">
        <w:rPr>
          <w:lang w:val="en-GB"/>
        </w:rPr>
        <w:t>°C compared to the pre-industrial period, thereby avoiding the most severe consequences of climate change.</w:t>
      </w:r>
    </w:p>
    <w:p w14:paraId="7EB1EDB2" w14:textId="77777777" w:rsidR="005F6900" w:rsidRPr="00E413B4" w:rsidRDefault="005F6900" w:rsidP="005F6900">
      <w:pPr>
        <w:tabs>
          <w:tab w:val="left" w:pos="3708"/>
        </w:tabs>
        <w:jc w:val="both"/>
        <w:rPr>
          <w:lang w:val="en-GB"/>
        </w:rPr>
      </w:pPr>
      <w:r w:rsidRPr="00E413B4">
        <w:rPr>
          <w:lang w:val="en-GB"/>
        </w:rPr>
        <w:t>To achieve this goal, major investments in climate change adaptation and mitigation measures are necessary. Therefore, green finance will play a key role in shaping the economic and environmental future of the planet in the decades to come.</w:t>
      </w:r>
    </w:p>
    <w:p w14:paraId="0AF8B396" w14:textId="77777777" w:rsidR="005F6900" w:rsidRPr="00E413B4" w:rsidRDefault="005F6900" w:rsidP="005F6900">
      <w:pPr>
        <w:tabs>
          <w:tab w:val="left" w:pos="3708"/>
        </w:tabs>
        <w:jc w:val="both"/>
        <w:rPr>
          <w:lang w:val="en-GB"/>
        </w:rPr>
      </w:pPr>
    </w:p>
    <w:p w14:paraId="020E46F4" w14:textId="6EA0CB26" w:rsidR="005F6900" w:rsidRPr="00E413B4" w:rsidRDefault="005F6900" w:rsidP="005B0548">
      <w:pPr>
        <w:rPr>
          <w:b/>
          <w:bCs/>
          <w:i/>
          <w:iCs/>
          <w:lang w:val="en-GB"/>
        </w:rPr>
      </w:pPr>
      <w:r w:rsidRPr="00E413B4">
        <w:rPr>
          <w:b/>
          <w:bCs/>
          <w:i/>
          <w:iCs/>
          <w:lang w:val="en-GB"/>
        </w:rPr>
        <w:t>How does green financing work in practice?</w:t>
      </w:r>
      <w:r w:rsidRPr="00E413B4">
        <w:rPr>
          <w:b/>
          <w:bCs/>
          <w:i/>
          <w:iCs/>
          <w:vertAlign w:val="superscript"/>
          <w:lang w:val="en-GB"/>
        </w:rPr>
        <w:footnoteReference w:id="1"/>
      </w:r>
    </w:p>
    <w:p w14:paraId="78C4C0B9" w14:textId="06161796"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 xml:space="preserve">Green loans are specialized financial products intended for projects that meet certain technical criteria </w:t>
      </w:r>
      <w:r w:rsidR="00C07BAD" w:rsidRPr="79180EEC">
        <w:rPr>
          <w:rFonts w:cs="Calibri"/>
          <w:lang w:val="en-GB" w:eastAsia="en-GB"/>
        </w:rPr>
        <w:t>on</w:t>
      </w:r>
      <w:r w:rsidRPr="79180EEC">
        <w:rPr>
          <w:rFonts w:cs="Calibri"/>
          <w:lang w:val="en-GB" w:eastAsia="en-GB"/>
        </w:rPr>
        <w:t xml:space="preserve"> energy efficiency and greenhouse gas emission reduction. These criteria are defined based on precise calculations that allow for the assessment of expected energy savings and/or reductions in greenhouse gas emissions.</w:t>
      </w:r>
    </w:p>
    <w:p w14:paraId="2F22815B" w14:textId="3A08FEB4"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 xml:space="preserve">For an investment to qualify for a green loan, it must provide at least 20% energy savings. </w:t>
      </w:r>
      <w:r w:rsidR="00442E38" w:rsidRPr="79180EEC">
        <w:rPr>
          <w:rFonts w:cs="Calibri"/>
          <w:lang w:val="en-GB" w:eastAsia="en-GB"/>
        </w:rPr>
        <w:t xml:space="preserve">The </w:t>
      </w:r>
      <w:r w:rsidRPr="79180EEC">
        <w:rPr>
          <w:rFonts w:cs="Calibri"/>
          <w:lang w:val="en-GB" w:eastAsia="en-GB"/>
        </w:rPr>
        <w:t xml:space="preserve">savings threshold is an industry standard applied by most banks and international funds </w:t>
      </w:r>
      <w:r w:rsidR="00E544AD" w:rsidRPr="79180EEC">
        <w:rPr>
          <w:rFonts w:cs="Calibri"/>
          <w:lang w:val="en-GB" w:eastAsia="en-GB"/>
        </w:rPr>
        <w:t>specialising</w:t>
      </w:r>
      <w:r w:rsidRPr="79180EEC">
        <w:rPr>
          <w:rFonts w:cs="Calibri"/>
          <w:lang w:val="en-GB" w:eastAsia="en-GB"/>
        </w:rPr>
        <w:t xml:space="preserve"> in green financing. When it comes to renewable energy sources, most technologies in this area meet the requirements for green financing due to their sustainable nature. In practice, the most commonly financed projects are solar power plants, hydroelectric power plants, wind power plants, biogas plants and other facilities that use biomass as an energy source.</w:t>
      </w:r>
    </w:p>
    <w:p w14:paraId="59C94C1C" w14:textId="77777777" w:rsidR="005F6900" w:rsidRPr="00E413B4" w:rsidRDefault="005F6900" w:rsidP="005F6900">
      <w:pPr>
        <w:spacing w:before="100" w:beforeAutospacing="1" w:after="100" w:afterAutospacing="1"/>
        <w:jc w:val="both"/>
        <w:rPr>
          <w:rFonts w:cs="Calibri"/>
          <w:lang w:val="en-GB" w:eastAsia="en-GB"/>
        </w:rPr>
      </w:pPr>
      <w:r w:rsidRPr="00E413B4">
        <w:rPr>
          <w:rFonts w:cs="Calibri"/>
          <w:lang w:val="en-GB" w:eastAsia="en-GB"/>
        </w:rPr>
        <w:t>In addition to investments in energy efficiency and renewable sources, green financing also includes projects aimed at protecting natural resources, such as measures to preserve water, soil and air quality, as well as improving waste management systems. Although these projects often do not have simple quantitative indicators of savings, it is generally accepted that they contribute significantly to environmental protection. A good example of such an approach is the financing of organic production, which promotes sustainable agriculture and reduces the negative impact on the ecosystem.</w:t>
      </w:r>
    </w:p>
    <w:p w14:paraId="1A79B606" w14:textId="77777777" w:rsidR="005F6900" w:rsidRPr="00E413B4" w:rsidRDefault="005F6900" w:rsidP="005F6900">
      <w:pPr>
        <w:spacing w:before="100" w:beforeAutospacing="1" w:after="100" w:afterAutospacing="1"/>
        <w:jc w:val="both"/>
        <w:rPr>
          <w:rFonts w:cs="Calibri"/>
          <w:lang w:val="en-GB" w:eastAsia="en-GB"/>
        </w:rPr>
      </w:pPr>
      <w:r w:rsidRPr="00E413B4">
        <w:rPr>
          <w:rFonts w:cs="Calibri"/>
          <w:lang w:val="en-GB" w:eastAsia="en-GB"/>
        </w:rPr>
        <w:t>Sources of funding for green projects include:</w:t>
      </w:r>
    </w:p>
    <w:p w14:paraId="4A48D494" w14:textId="31519113" w:rsidR="005F6900" w:rsidRPr="00E413B4" w:rsidRDefault="005F6900" w:rsidP="002F7752">
      <w:pPr>
        <w:jc w:val="both"/>
        <w:rPr>
          <w:rFonts w:cs="Calibri"/>
          <w:lang w:val="en-GB" w:eastAsia="en-GB"/>
        </w:rPr>
      </w:pPr>
      <w:r w:rsidRPr="79180EEC">
        <w:rPr>
          <w:rFonts w:cs="Calibri"/>
          <w:lang w:val="en-GB" w:eastAsia="en-GB"/>
        </w:rPr>
        <w:t xml:space="preserve">• </w:t>
      </w:r>
      <w:r>
        <w:tab/>
      </w:r>
      <w:r w:rsidRPr="79180EEC">
        <w:rPr>
          <w:rFonts w:cs="Calibri"/>
          <w:b/>
          <w:bCs/>
          <w:lang w:val="en-GB" w:eastAsia="en-GB"/>
        </w:rPr>
        <w:t xml:space="preserve">International financial institutions: </w:t>
      </w:r>
      <w:r w:rsidR="003455E2" w:rsidRPr="79180EEC">
        <w:rPr>
          <w:rFonts w:cs="Calibri"/>
          <w:lang w:val="en-GB" w:eastAsia="en-GB"/>
        </w:rPr>
        <w:t>Organisations</w:t>
      </w:r>
      <w:r w:rsidRPr="79180EEC">
        <w:rPr>
          <w:rFonts w:cs="Calibri"/>
          <w:lang w:val="en-GB" w:eastAsia="en-GB"/>
        </w:rPr>
        <w:t xml:space="preserve"> such as the European Bank for Reconstruction and Development (EBRD) and </w:t>
      </w:r>
      <w:r w:rsidR="005B0548" w:rsidRPr="79180EEC">
        <w:rPr>
          <w:rFonts w:cs="Calibri"/>
          <w:lang w:val="en-GB" w:eastAsia="en-GB"/>
        </w:rPr>
        <w:t xml:space="preserve">KfW </w:t>
      </w:r>
      <w:r w:rsidRPr="79180EEC">
        <w:rPr>
          <w:rFonts w:cs="Calibri"/>
          <w:lang w:val="en-GB" w:eastAsia="en-GB"/>
        </w:rPr>
        <w:t>Bank provide financial support through credit lines intended for local banks for the onward distribution of green loans.</w:t>
      </w:r>
    </w:p>
    <w:p w14:paraId="671007C8" w14:textId="77777777" w:rsidR="005F6900" w:rsidRPr="00E413B4" w:rsidRDefault="005F6900" w:rsidP="002F7752">
      <w:pPr>
        <w:jc w:val="both"/>
        <w:rPr>
          <w:rFonts w:cs="Calibri"/>
          <w:lang w:val="en-GB" w:eastAsia="en-GB"/>
        </w:rPr>
      </w:pPr>
      <w:r w:rsidRPr="00E413B4">
        <w:rPr>
          <w:rFonts w:cs="Calibri"/>
          <w:lang w:val="en-GB" w:eastAsia="en-GB"/>
        </w:rPr>
        <w:lastRenderedPageBreak/>
        <w:t xml:space="preserve">• </w:t>
      </w:r>
      <w:r w:rsidRPr="00E413B4">
        <w:rPr>
          <w:rFonts w:cs="Calibri"/>
          <w:lang w:val="en-GB" w:eastAsia="en-GB"/>
        </w:rPr>
        <w:tab/>
      </w:r>
      <w:r w:rsidRPr="00E413B4">
        <w:rPr>
          <w:rFonts w:cs="Calibri"/>
          <w:b/>
          <w:lang w:val="en-GB" w:eastAsia="en-GB"/>
        </w:rPr>
        <w:t xml:space="preserve">Commercial banks: </w:t>
      </w:r>
      <w:r w:rsidRPr="00E413B4">
        <w:rPr>
          <w:rFonts w:cs="Calibri"/>
          <w:lang w:val="en-GB" w:eastAsia="en-GB"/>
        </w:rPr>
        <w:t>A growing number of domestic banks are recognizing the potential of green financing and offering specialized loan products for energy efficiency and renewable energy projects.</w:t>
      </w:r>
    </w:p>
    <w:p w14:paraId="6D077193" w14:textId="2838A45D" w:rsidR="005F6900" w:rsidRPr="00E413B4" w:rsidRDefault="005F6900" w:rsidP="002F7752">
      <w:pPr>
        <w:jc w:val="both"/>
        <w:rPr>
          <w:rFonts w:cs="Calibri"/>
          <w:lang w:val="en-GB" w:eastAsia="en-GB"/>
        </w:rPr>
      </w:pPr>
      <w:r w:rsidRPr="79180EEC">
        <w:rPr>
          <w:rFonts w:cs="Calibri"/>
          <w:lang w:val="en-GB" w:eastAsia="en-GB"/>
        </w:rPr>
        <w:t xml:space="preserve">• </w:t>
      </w:r>
      <w:r>
        <w:tab/>
      </w:r>
      <w:r w:rsidRPr="79180EEC">
        <w:rPr>
          <w:rFonts w:cs="Calibri"/>
          <w:b/>
          <w:bCs/>
          <w:lang w:val="en-GB" w:eastAsia="en-GB"/>
        </w:rPr>
        <w:t>Government funds and subsidies</w:t>
      </w:r>
      <w:r w:rsidRPr="79180EEC">
        <w:rPr>
          <w:rFonts w:cs="Calibri"/>
          <w:lang w:val="en-GB" w:eastAsia="en-GB"/>
        </w:rPr>
        <w:t>: Governments often provide incentives in the form of subsidies, grants or tax breaks for projects that contribute to reducing negative environmental impacts.</w:t>
      </w:r>
    </w:p>
    <w:p w14:paraId="519D0026" w14:textId="45CFBAA4" w:rsidR="005F6900" w:rsidRPr="00E413B4" w:rsidRDefault="005F6900" w:rsidP="002F7752">
      <w:pPr>
        <w:pStyle w:val="ListParagraph"/>
        <w:numPr>
          <w:ilvl w:val="0"/>
          <w:numId w:val="1"/>
        </w:numPr>
        <w:ind w:left="0" w:firstLine="0"/>
        <w:jc w:val="both"/>
        <w:rPr>
          <w:rFonts w:cs="Calibri"/>
          <w:lang w:val="en-GB" w:eastAsia="en-GB"/>
        </w:rPr>
      </w:pPr>
      <w:r w:rsidRPr="79180EEC">
        <w:rPr>
          <w:rFonts w:cs="Calibri"/>
          <w:b/>
          <w:bCs/>
          <w:lang w:val="en-GB" w:eastAsia="en-GB"/>
        </w:rPr>
        <w:t xml:space="preserve">Green bonds: </w:t>
      </w:r>
      <w:r w:rsidRPr="79180EEC">
        <w:rPr>
          <w:rFonts w:cs="Calibri"/>
          <w:lang w:val="en-GB" w:eastAsia="en-GB"/>
        </w:rPr>
        <w:t>Issuing green bonds is becoming an increasingly popular way to raise funds to finance environmental projects</w:t>
      </w:r>
      <w:r w:rsidRPr="79180EEC">
        <w:rPr>
          <w:rFonts w:cs="Calibri"/>
          <w:b/>
          <w:bCs/>
          <w:lang w:val="en-GB" w:eastAsia="en-GB"/>
        </w:rPr>
        <w:t>.</w:t>
      </w:r>
    </w:p>
    <w:p w14:paraId="0F1B9371" w14:textId="51018B7B"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In Serbia, green financing is on the rise, with an increasing number of banks expected to recognize the business opportunity in this segment, especially in the context of harmoni</w:t>
      </w:r>
      <w:r w:rsidR="00992FC8" w:rsidRPr="79180EEC">
        <w:rPr>
          <w:rFonts w:cs="Calibri"/>
          <w:lang w:val="en-GB" w:eastAsia="en-GB"/>
        </w:rPr>
        <w:t>s</w:t>
      </w:r>
      <w:r w:rsidRPr="79180EEC">
        <w:rPr>
          <w:rFonts w:cs="Calibri"/>
          <w:lang w:val="en-GB" w:eastAsia="en-GB"/>
        </w:rPr>
        <w:t>ation with European Union regulations in the field of environmental protection.</w:t>
      </w:r>
    </w:p>
    <w:p w14:paraId="2FF3FD2A" w14:textId="7710890D" w:rsidR="005F6900" w:rsidRPr="00E413B4" w:rsidRDefault="002F7752" w:rsidP="005F6900">
      <w:pPr>
        <w:rPr>
          <w:b/>
          <w:i/>
          <w:iCs/>
          <w:lang w:val="en-GB"/>
        </w:rPr>
      </w:pPr>
      <w:r w:rsidRPr="00E413B4">
        <w:rPr>
          <w:b/>
          <w:i/>
          <w:iCs/>
          <w:lang w:val="en-GB"/>
        </w:rPr>
        <w:t xml:space="preserve">Green </w:t>
      </w:r>
      <w:r w:rsidR="005F6900" w:rsidRPr="00E413B4">
        <w:rPr>
          <w:b/>
          <w:i/>
          <w:iCs/>
          <w:lang w:val="en-GB"/>
        </w:rPr>
        <w:t>VS Standard financing</w:t>
      </w:r>
      <w:r w:rsidR="005F6900" w:rsidRPr="00E413B4">
        <w:rPr>
          <w:rStyle w:val="FootnoteReference"/>
          <w:b/>
          <w:i/>
          <w:iCs/>
          <w:lang w:val="en-GB"/>
        </w:rPr>
        <w:footnoteReference w:id="2"/>
      </w:r>
    </w:p>
    <w:p w14:paraId="3E44070E" w14:textId="77777777" w:rsidR="005F6900" w:rsidRPr="00E413B4" w:rsidRDefault="005F6900" w:rsidP="005F6900">
      <w:pPr>
        <w:rPr>
          <w:b/>
          <w:lang w:val="en-GB"/>
        </w:rPr>
      </w:pPr>
    </w:p>
    <w:p w14:paraId="52CF72E9" w14:textId="21788D16" w:rsidR="005F6900" w:rsidRPr="00E413B4" w:rsidRDefault="005F6900" w:rsidP="005F6900">
      <w:pPr>
        <w:jc w:val="both"/>
        <w:rPr>
          <w:lang w:val="en-GB"/>
        </w:rPr>
      </w:pPr>
      <w:r w:rsidRPr="79180EEC">
        <w:rPr>
          <w:lang w:val="en-GB"/>
        </w:rPr>
        <w:t xml:space="preserve">Green financing offers </w:t>
      </w:r>
      <w:r w:rsidR="007700A1" w:rsidRPr="79180EEC">
        <w:rPr>
          <w:lang w:val="en-GB"/>
        </w:rPr>
        <w:t xml:space="preserve">several </w:t>
      </w:r>
      <w:r w:rsidRPr="79180EEC">
        <w:rPr>
          <w:lang w:val="en-GB"/>
        </w:rPr>
        <w:t xml:space="preserve">advantages compared to </w:t>
      </w:r>
      <w:r w:rsidR="007700A1" w:rsidRPr="79180EEC">
        <w:rPr>
          <w:lang w:val="en-GB"/>
        </w:rPr>
        <w:t xml:space="preserve">traditional </w:t>
      </w:r>
      <w:r w:rsidRPr="79180EEC">
        <w:rPr>
          <w:lang w:val="en-GB"/>
        </w:rPr>
        <w:t>lending</w:t>
      </w:r>
      <w:r w:rsidR="00042A86" w:rsidRPr="79180EEC">
        <w:rPr>
          <w:lang w:val="en-GB"/>
        </w:rPr>
        <w:t xml:space="preserve"> for</w:t>
      </w:r>
      <w:r w:rsidRPr="79180EEC">
        <w:rPr>
          <w:lang w:val="en-GB"/>
        </w:rPr>
        <w:t xml:space="preserve"> both clients and financial institutions.</w:t>
      </w:r>
    </w:p>
    <w:p w14:paraId="7B7831C7" w14:textId="77777777" w:rsidR="005F6900" w:rsidRPr="00E413B4" w:rsidRDefault="005F6900" w:rsidP="005F6900">
      <w:pPr>
        <w:jc w:val="both"/>
        <w:rPr>
          <w:lang w:val="en-GB"/>
        </w:rPr>
      </w:pPr>
    </w:p>
    <w:p w14:paraId="4D1A9707" w14:textId="77777777" w:rsidR="005F6900" w:rsidRPr="00E413B4" w:rsidRDefault="005F6900" w:rsidP="005F6900">
      <w:pPr>
        <w:jc w:val="both"/>
        <w:rPr>
          <w:lang w:val="en-GB"/>
        </w:rPr>
      </w:pPr>
      <w:r w:rsidRPr="00E413B4">
        <w:rPr>
          <w:lang w:val="en-GB"/>
        </w:rPr>
        <w:t>First, investments financed with green loans have a clearly measurable and tangible impact – energy savings and cost reductions of at least 20%. These savings directly improve the financial performance of companies, allowing them greater liquidity and additional space for new investments.</w:t>
      </w:r>
    </w:p>
    <w:p w14:paraId="1020CB93" w14:textId="77777777" w:rsidR="005F6900" w:rsidRPr="00E413B4" w:rsidRDefault="005F6900" w:rsidP="005F6900">
      <w:pPr>
        <w:jc w:val="both"/>
        <w:rPr>
          <w:lang w:val="en-GB"/>
        </w:rPr>
      </w:pPr>
    </w:p>
    <w:p w14:paraId="552E8CAF" w14:textId="578E879F" w:rsidR="005F6900" w:rsidRPr="00E413B4" w:rsidRDefault="005F6900" w:rsidP="005F6900">
      <w:pPr>
        <w:jc w:val="both"/>
        <w:rPr>
          <w:lang w:val="en-GB"/>
        </w:rPr>
      </w:pPr>
      <w:r w:rsidRPr="79180EEC">
        <w:rPr>
          <w:lang w:val="en-GB"/>
        </w:rPr>
        <w:t xml:space="preserve">Second, banks that offer green loans generate added value, as the default rate on these loans is significantly lower </w:t>
      </w:r>
      <w:r w:rsidR="00640A6E" w:rsidRPr="79180EEC">
        <w:rPr>
          <w:lang w:val="en-GB"/>
        </w:rPr>
        <w:t>than</w:t>
      </w:r>
      <w:r w:rsidRPr="79180EEC">
        <w:rPr>
          <w:lang w:val="en-GB"/>
        </w:rPr>
        <w:t xml:space="preserve"> a standard loan portfolio – up to three times</w:t>
      </w:r>
      <w:r w:rsidR="00E9337D" w:rsidRPr="79180EEC">
        <w:rPr>
          <w:lang w:val="en-GB"/>
        </w:rPr>
        <w:t xml:space="preserve"> lower</w:t>
      </w:r>
      <w:r w:rsidRPr="79180EEC">
        <w:rPr>
          <w:lang w:val="en-GB"/>
        </w:rPr>
        <w:t>. These statistics show that investments in energy-efficient and sustainable projects are not only environmentally responsible but also financially stable, with a lower risk of default.</w:t>
      </w:r>
    </w:p>
    <w:p w14:paraId="75D7FDF2" w14:textId="77777777" w:rsidR="005F6900" w:rsidRPr="00E413B4" w:rsidRDefault="005F6900" w:rsidP="005F6900">
      <w:pPr>
        <w:jc w:val="both"/>
        <w:rPr>
          <w:lang w:val="en-GB"/>
        </w:rPr>
      </w:pPr>
    </w:p>
    <w:p w14:paraId="7A362E16" w14:textId="25039EB2" w:rsidR="005F6900" w:rsidRPr="00E413B4" w:rsidRDefault="005F6900" w:rsidP="005F6900">
      <w:pPr>
        <w:jc w:val="both"/>
        <w:rPr>
          <w:lang w:val="en-GB"/>
        </w:rPr>
      </w:pPr>
      <w:r w:rsidRPr="79180EEC">
        <w:rPr>
          <w:lang w:val="en-GB"/>
        </w:rPr>
        <w:t xml:space="preserve">Third, green financing is generally focused on long-term investments with a repayment period of five years or more. This ensures stable and long-term income for the financial institution, while allowing clients to gradually </w:t>
      </w:r>
      <w:r w:rsidR="00E9337D" w:rsidRPr="79180EEC">
        <w:rPr>
          <w:lang w:val="en-GB"/>
        </w:rPr>
        <w:t>realise</w:t>
      </w:r>
      <w:r w:rsidRPr="79180EEC">
        <w:rPr>
          <w:lang w:val="en-GB"/>
        </w:rPr>
        <w:t xml:space="preserve"> a return on investment through reduced operating costs.</w:t>
      </w:r>
    </w:p>
    <w:p w14:paraId="0B9307E4" w14:textId="77777777" w:rsidR="005F6900" w:rsidRPr="00E413B4" w:rsidRDefault="005F6900" w:rsidP="005F6900">
      <w:pPr>
        <w:jc w:val="both"/>
        <w:rPr>
          <w:lang w:val="en-GB"/>
        </w:rPr>
      </w:pPr>
    </w:p>
    <w:p w14:paraId="22A28016" w14:textId="32184C8D" w:rsidR="005F6900" w:rsidRPr="00E413B4" w:rsidRDefault="005F6900" w:rsidP="005F6900">
      <w:pPr>
        <w:jc w:val="both"/>
        <w:rPr>
          <w:lang w:val="en-GB"/>
        </w:rPr>
      </w:pPr>
      <w:r w:rsidRPr="79180EEC">
        <w:rPr>
          <w:lang w:val="en-GB"/>
        </w:rPr>
        <w:t xml:space="preserve">Overall, green financing brings mutual benefits – it provides companies with access to more </w:t>
      </w:r>
      <w:r w:rsidR="00E9337D" w:rsidRPr="79180EEC">
        <w:rPr>
          <w:lang w:val="en-GB"/>
        </w:rPr>
        <w:t>favourable</w:t>
      </w:r>
      <w:r w:rsidRPr="79180EEC">
        <w:rPr>
          <w:lang w:val="en-GB"/>
        </w:rPr>
        <w:t xml:space="preserve"> financing terms and reduces operating costs in the long term, while providing banks with a safer and more sustainable loan portfolio.</w:t>
      </w:r>
    </w:p>
    <w:p w14:paraId="4F187FB1" w14:textId="77777777" w:rsidR="005F6900" w:rsidRPr="00E413B4" w:rsidRDefault="005F6900" w:rsidP="005F6900">
      <w:pPr>
        <w:jc w:val="both"/>
        <w:rPr>
          <w:lang w:val="en-GB"/>
        </w:rPr>
      </w:pPr>
    </w:p>
    <w:p w14:paraId="79E78FE0" w14:textId="268D5EF7" w:rsidR="005F6900" w:rsidRPr="00E413B4" w:rsidRDefault="005F6900" w:rsidP="005F6900">
      <w:pPr>
        <w:jc w:val="both"/>
        <w:rPr>
          <w:lang w:val="en-GB"/>
        </w:rPr>
      </w:pPr>
      <w:r w:rsidRPr="79180EEC">
        <w:rPr>
          <w:lang w:val="en-GB"/>
        </w:rPr>
        <w:t xml:space="preserve">Green financing provides </w:t>
      </w:r>
      <w:r w:rsidR="00E9337D" w:rsidRPr="79180EEC">
        <w:rPr>
          <w:lang w:val="en-GB"/>
        </w:rPr>
        <w:t>several</w:t>
      </w:r>
      <w:r w:rsidRPr="79180EEC">
        <w:rPr>
          <w:lang w:val="en-GB"/>
        </w:rPr>
        <w:t xml:space="preserve"> advantages over standard credit products, benefiting both clients and financial institutions.</w:t>
      </w:r>
    </w:p>
    <w:p w14:paraId="438777C4" w14:textId="77777777" w:rsidR="005F6900" w:rsidRPr="00E413B4" w:rsidRDefault="005F6900" w:rsidP="005F6900">
      <w:pPr>
        <w:jc w:val="both"/>
        <w:rPr>
          <w:lang w:val="en-GB"/>
        </w:rPr>
      </w:pPr>
    </w:p>
    <w:p w14:paraId="3F0A698D" w14:textId="77777777" w:rsidR="005F6900" w:rsidRPr="00E413B4" w:rsidRDefault="005F6900" w:rsidP="005F6900">
      <w:pPr>
        <w:jc w:val="both"/>
        <w:rPr>
          <w:lang w:val="en-GB"/>
        </w:rPr>
      </w:pPr>
      <w:r w:rsidRPr="00E413B4">
        <w:rPr>
          <w:lang w:val="en-GB"/>
        </w:rPr>
        <w:t>Financial benefits for clients: Investments financed with green loans often result in significant energy savings and reduced operating costs, which improves the financial performance of the company and creates space for new investments.</w:t>
      </w:r>
    </w:p>
    <w:p w14:paraId="0D802DC7" w14:textId="77777777" w:rsidR="005F6900" w:rsidRPr="00E413B4" w:rsidRDefault="005F6900" w:rsidP="005F6900">
      <w:pPr>
        <w:rPr>
          <w:lang w:val="en-GB"/>
        </w:rPr>
      </w:pPr>
    </w:p>
    <w:p w14:paraId="0968DFD2" w14:textId="77777777" w:rsidR="005F6900" w:rsidRPr="00E413B4" w:rsidRDefault="005F6900" w:rsidP="005F6900">
      <w:pPr>
        <w:rPr>
          <w:lang w:val="en-GB"/>
        </w:rPr>
      </w:pPr>
      <w:r w:rsidRPr="00E413B4">
        <w:rPr>
          <w:lang w:val="en-GB"/>
        </w:rPr>
        <w:t>Reduced credit risk for banks: Banks offering green loans experience lower default rates on these loans compared to standard loans, indicating lower credit risk and greater financial stability of such investments.</w:t>
      </w:r>
    </w:p>
    <w:p w14:paraId="175F3B6E" w14:textId="77777777" w:rsidR="005F6900" w:rsidRPr="00E413B4" w:rsidRDefault="005F6900" w:rsidP="005F6900">
      <w:pPr>
        <w:tabs>
          <w:tab w:val="left" w:pos="3708"/>
        </w:tabs>
        <w:jc w:val="both"/>
        <w:rPr>
          <w:lang w:val="en-GB"/>
        </w:rPr>
      </w:pPr>
    </w:p>
    <w:p w14:paraId="3B77B105" w14:textId="20DB6BEA" w:rsidR="005F6900" w:rsidRPr="00E413B4" w:rsidRDefault="005F6900" w:rsidP="005F6900">
      <w:pPr>
        <w:tabs>
          <w:tab w:val="left" w:pos="3708"/>
        </w:tabs>
        <w:jc w:val="both"/>
        <w:rPr>
          <w:lang w:val="en-GB"/>
        </w:rPr>
      </w:pPr>
      <w:r w:rsidRPr="79180EEC">
        <w:rPr>
          <w:lang w:val="en-GB"/>
        </w:rPr>
        <w:t xml:space="preserve">Long-term income and market opportunities: Green finance is mainly focused on long-term investments, providing stable income for financial institutions. In addition, the growing demand for sustainable projects </w:t>
      </w:r>
      <w:r w:rsidR="00A178EB" w:rsidRPr="79180EEC">
        <w:rPr>
          <w:lang w:val="en-GB"/>
        </w:rPr>
        <w:lastRenderedPageBreak/>
        <w:t>opens</w:t>
      </w:r>
      <w:r w:rsidRPr="79180EEC">
        <w:rPr>
          <w:lang w:val="en-GB"/>
        </w:rPr>
        <w:t xml:space="preserve"> new market opportunities and allows banks to position themselves as leaders in the field of sustainable finance.</w:t>
      </w:r>
    </w:p>
    <w:p w14:paraId="79CEE049" w14:textId="77777777" w:rsidR="005F6900" w:rsidRPr="00E413B4" w:rsidRDefault="005F6900" w:rsidP="005F6900">
      <w:pPr>
        <w:tabs>
          <w:tab w:val="left" w:pos="3708"/>
        </w:tabs>
        <w:jc w:val="both"/>
        <w:rPr>
          <w:lang w:val="en-GB"/>
        </w:rPr>
      </w:pPr>
    </w:p>
    <w:p w14:paraId="107F37B3" w14:textId="77777777" w:rsidR="005F6900" w:rsidRPr="00E413B4" w:rsidRDefault="005F6900" w:rsidP="005F6900">
      <w:pPr>
        <w:tabs>
          <w:tab w:val="left" w:pos="3708"/>
        </w:tabs>
        <w:jc w:val="both"/>
        <w:rPr>
          <w:lang w:val="en-GB"/>
        </w:rPr>
      </w:pPr>
      <w:r w:rsidRPr="00E413B4">
        <w:rPr>
          <w:lang w:val="en-GB"/>
        </w:rPr>
        <w:t>Contribution to sustainable development: By supporting projects that reduce greenhouse gas emissions and improve energy efficiency, green financing contributes to global efforts to combat climate change and fosters sustainable development.</w:t>
      </w:r>
    </w:p>
    <w:p w14:paraId="7B888625" w14:textId="77777777" w:rsidR="005F6900" w:rsidRPr="00E413B4" w:rsidRDefault="005F6900" w:rsidP="005F6900">
      <w:pPr>
        <w:tabs>
          <w:tab w:val="left" w:pos="3708"/>
        </w:tabs>
        <w:jc w:val="both"/>
        <w:rPr>
          <w:lang w:val="en-GB"/>
        </w:rPr>
      </w:pPr>
    </w:p>
    <w:p w14:paraId="3F8F3B84" w14:textId="303EE99E" w:rsidR="005F6900" w:rsidRPr="00E413B4" w:rsidRDefault="005F6900" w:rsidP="005F6900">
      <w:pPr>
        <w:tabs>
          <w:tab w:val="left" w:pos="3708"/>
        </w:tabs>
        <w:jc w:val="both"/>
        <w:rPr>
          <w:lang w:val="en-GB"/>
        </w:rPr>
      </w:pPr>
      <w:r w:rsidRPr="79180EEC">
        <w:rPr>
          <w:lang w:val="en-GB"/>
        </w:rPr>
        <w:t xml:space="preserve">In conclusion, green financing not only provides financial benefits for clients and </w:t>
      </w:r>
      <w:r w:rsidR="00A178EB" w:rsidRPr="79180EEC">
        <w:rPr>
          <w:lang w:val="en-GB"/>
        </w:rPr>
        <w:t>banks but</w:t>
      </w:r>
      <w:r w:rsidRPr="79180EEC">
        <w:rPr>
          <w:lang w:val="en-GB"/>
        </w:rPr>
        <w:t xml:space="preserve"> also plays a key role in the transition to a sustainable economy, making it a superior choice over standard financing.</w:t>
      </w:r>
    </w:p>
    <w:p w14:paraId="05BDF27A" w14:textId="1076CDA6" w:rsidR="79180EEC" w:rsidRDefault="79180EEC" w:rsidP="79180EEC">
      <w:pPr>
        <w:rPr>
          <w:b/>
          <w:bCs/>
          <w:i/>
          <w:iCs/>
          <w:lang w:val="en-GB"/>
        </w:rPr>
      </w:pPr>
    </w:p>
    <w:p w14:paraId="691C8C87" w14:textId="42A53B16" w:rsidR="79180EEC" w:rsidRDefault="79180EEC" w:rsidP="79180EEC">
      <w:pPr>
        <w:rPr>
          <w:b/>
          <w:bCs/>
          <w:i/>
          <w:iCs/>
          <w:lang w:val="en-GB"/>
        </w:rPr>
      </w:pPr>
    </w:p>
    <w:p w14:paraId="0A75190C" w14:textId="7B82B1A2" w:rsidR="005F6900" w:rsidRPr="00E413B4" w:rsidRDefault="005F6900" w:rsidP="79180EEC">
      <w:pPr>
        <w:rPr>
          <w:b/>
          <w:bCs/>
          <w:i/>
          <w:iCs/>
          <w:lang w:val="en-GB"/>
        </w:rPr>
      </w:pPr>
      <w:r w:rsidRPr="79180EEC">
        <w:rPr>
          <w:b/>
          <w:bCs/>
          <w:i/>
          <w:iCs/>
          <w:lang w:val="en-GB"/>
        </w:rPr>
        <w:t>Green financing in Serbia</w:t>
      </w:r>
      <w:r w:rsidRPr="79180EEC">
        <w:rPr>
          <w:rStyle w:val="FootnoteReference"/>
          <w:b/>
          <w:bCs/>
          <w:i/>
          <w:iCs/>
          <w:lang w:val="en-GB"/>
        </w:rPr>
        <w:footnoteReference w:id="3"/>
      </w:r>
    </w:p>
    <w:p w14:paraId="094AE0C2" w14:textId="2D72CC3B" w:rsidR="79180EEC" w:rsidRDefault="79180EEC" w:rsidP="79180EEC">
      <w:pPr>
        <w:rPr>
          <w:b/>
          <w:bCs/>
          <w:i/>
          <w:iCs/>
          <w:lang w:val="en-GB"/>
        </w:rPr>
      </w:pPr>
    </w:p>
    <w:p w14:paraId="62F44290" w14:textId="5041A56E" w:rsidR="79180EEC" w:rsidRDefault="005F6900" w:rsidP="00470022">
      <w:pPr>
        <w:spacing w:before="100" w:beforeAutospacing="1" w:after="100" w:afterAutospacing="1"/>
        <w:jc w:val="both"/>
        <w:rPr>
          <w:rFonts w:cs="Calibri"/>
          <w:lang w:val="en-GB"/>
        </w:rPr>
      </w:pPr>
      <w:r w:rsidRPr="79180EEC">
        <w:rPr>
          <w:rFonts w:cs="Calibri"/>
          <w:lang w:val="en-GB"/>
        </w:rPr>
        <w:t xml:space="preserve">Green financing in Serbia emerged about ten years </w:t>
      </w:r>
      <w:r w:rsidR="001C2E6E" w:rsidRPr="79180EEC">
        <w:rPr>
          <w:rFonts w:cs="Calibri"/>
          <w:lang w:val="en-GB"/>
        </w:rPr>
        <w:t>ago but</w:t>
      </w:r>
      <w:r w:rsidRPr="79180EEC">
        <w:rPr>
          <w:rFonts w:cs="Calibri"/>
          <w:lang w:val="en-GB"/>
        </w:rPr>
        <w:t xml:space="preserve"> </w:t>
      </w:r>
      <w:r w:rsidR="00C0382D" w:rsidRPr="79180EEC">
        <w:rPr>
          <w:rFonts w:cs="Calibri"/>
          <w:lang w:val="en-GB"/>
        </w:rPr>
        <w:t xml:space="preserve">it is </w:t>
      </w:r>
      <w:r w:rsidRPr="79180EEC">
        <w:rPr>
          <w:rFonts w:cs="Calibri"/>
          <w:lang w:val="en-GB"/>
        </w:rPr>
        <w:t xml:space="preserve">not yet widespread. It is expected that </w:t>
      </w:r>
      <w:r w:rsidR="001C2E6E" w:rsidRPr="79180EEC">
        <w:rPr>
          <w:rFonts w:cs="Calibri"/>
          <w:lang w:val="en-GB"/>
        </w:rPr>
        <w:t>soon</w:t>
      </w:r>
      <w:r w:rsidRPr="79180EEC">
        <w:rPr>
          <w:rFonts w:cs="Calibri"/>
          <w:lang w:val="en-GB"/>
        </w:rPr>
        <w:t xml:space="preserve"> an increasing number of banks in Serbia will recognize the business potential of green financing and become more actively involved in this area. As Serbia progresses in negotiations with the European Union, Chapter 27, which deals with environmental protection, will gain increasing importance. Adjusting legislation and introducing new regulations will be a long-term process, requiring significant financial investments.</w:t>
      </w:r>
    </w:p>
    <w:p w14:paraId="798BACA5" w14:textId="01745FC1" w:rsidR="79180EEC" w:rsidRDefault="005F6900" w:rsidP="00470022">
      <w:pPr>
        <w:spacing w:before="100" w:beforeAutospacing="1" w:after="100" w:afterAutospacing="1"/>
        <w:jc w:val="both"/>
        <w:rPr>
          <w:rFonts w:cs="Calibri"/>
          <w:lang w:val="en-GB"/>
        </w:rPr>
      </w:pPr>
      <w:r w:rsidRPr="79180EEC">
        <w:rPr>
          <w:rFonts w:cs="Calibri"/>
          <w:lang w:val="en-GB"/>
        </w:rPr>
        <w:t xml:space="preserve">Green financing in Serbia is experiencing significant growth, driven by initiatives from international financial institutions and support from the European Union. Programs such as the </w:t>
      </w:r>
      <w:r w:rsidR="00B6698E" w:rsidRPr="79180EEC">
        <w:rPr>
          <w:rFonts w:cs="Calibri"/>
          <w:lang w:val="en-GB"/>
        </w:rPr>
        <w:t>Green Economy Financing Facility (</w:t>
      </w:r>
      <w:r w:rsidRPr="79180EEC">
        <w:rPr>
          <w:rFonts w:cs="Calibri"/>
          <w:lang w:val="en-GB"/>
        </w:rPr>
        <w:t>GEFF</w:t>
      </w:r>
      <w:r w:rsidR="00B6698E" w:rsidRPr="79180EEC">
        <w:rPr>
          <w:rFonts w:cs="Calibri"/>
          <w:lang w:val="en-GB"/>
        </w:rPr>
        <w:t>)</w:t>
      </w:r>
      <w:r w:rsidRPr="79180EEC">
        <w:rPr>
          <w:rFonts w:cs="Calibri"/>
          <w:lang w:val="en-GB"/>
        </w:rPr>
        <w:t xml:space="preserve"> Serbia, implemented by the EBRD, provide financial and technical assistance to households and businesses for investments in energy-efficient technologies.</w:t>
      </w:r>
    </w:p>
    <w:p w14:paraId="28448785" w14:textId="1FD67649" w:rsidR="005F6900" w:rsidRPr="00E413B4" w:rsidRDefault="005F6900" w:rsidP="79180EEC">
      <w:pPr>
        <w:spacing w:before="100" w:beforeAutospacing="1" w:after="100" w:afterAutospacing="1"/>
        <w:jc w:val="both"/>
        <w:rPr>
          <w:rFonts w:cs="Calibri"/>
          <w:lang w:val="en-GB"/>
        </w:rPr>
      </w:pPr>
      <w:r w:rsidRPr="79180EEC">
        <w:rPr>
          <w:rFonts w:cs="Calibri"/>
          <w:lang w:val="en-GB"/>
        </w:rPr>
        <w:t xml:space="preserve">The European Union has, through various programs, allocated significant funds to support SMEs in Serbia. </w:t>
      </w:r>
      <w:r w:rsidR="00852727" w:rsidRPr="79180EEC">
        <w:rPr>
          <w:rFonts w:cs="Calibri"/>
          <w:lang w:val="en-GB"/>
        </w:rPr>
        <w:t xml:space="preserve">The </w:t>
      </w:r>
      <w:r w:rsidRPr="79180EEC">
        <w:rPr>
          <w:rFonts w:cs="Calibri"/>
          <w:lang w:val="en-GB"/>
        </w:rPr>
        <w:t xml:space="preserve">SME Go Green </w:t>
      </w:r>
      <w:r w:rsidR="00852727" w:rsidRPr="79180EEC">
        <w:rPr>
          <w:rFonts w:cs="Calibri"/>
          <w:lang w:val="en-GB"/>
        </w:rPr>
        <w:t>programme</w:t>
      </w:r>
      <w:r w:rsidRPr="79180EEC">
        <w:rPr>
          <w:rFonts w:cs="Calibri"/>
          <w:lang w:val="en-GB"/>
        </w:rPr>
        <w:t>, launched in collaboration with the EBRD, aims to help SMEs in the agribusiness sector reduce their environmental impact and become more sustainable.</w:t>
      </w:r>
    </w:p>
    <w:p w14:paraId="1F27870D" w14:textId="688A2D14" w:rsidR="79180EEC" w:rsidRDefault="005F6900" w:rsidP="00470022">
      <w:pPr>
        <w:spacing w:before="100" w:beforeAutospacing="1" w:after="100" w:afterAutospacing="1"/>
        <w:jc w:val="both"/>
        <w:rPr>
          <w:rFonts w:cs="Calibri"/>
          <w:lang w:val="en-GB"/>
        </w:rPr>
      </w:pPr>
      <w:r w:rsidRPr="79180EEC">
        <w:rPr>
          <w:rFonts w:cs="Calibri"/>
          <w:lang w:val="en-GB"/>
        </w:rPr>
        <w:t xml:space="preserve">Also, </w:t>
      </w:r>
      <w:r w:rsidR="0089076E" w:rsidRPr="79180EEC">
        <w:rPr>
          <w:rFonts w:cs="Calibri"/>
          <w:lang w:val="en-GB"/>
        </w:rPr>
        <w:t xml:space="preserve">the </w:t>
      </w:r>
      <w:r w:rsidRPr="79180EEC">
        <w:rPr>
          <w:rFonts w:cs="Calibri"/>
          <w:lang w:val="en-GB"/>
        </w:rPr>
        <w:t xml:space="preserve">Green for Growth Fund (GGF) has approved a loan of EUR 40 million to AIK Bank for dedicated green financing of companies investing in sustainable practices and renewable energy projects. This loan primarily supports the expansion of renewable energy sources, contributing to the </w:t>
      </w:r>
      <w:r w:rsidR="0089076E" w:rsidRPr="79180EEC">
        <w:rPr>
          <w:rFonts w:cs="Calibri"/>
          <w:lang w:val="en-GB"/>
        </w:rPr>
        <w:t>decarbonisation</w:t>
      </w:r>
      <w:r w:rsidRPr="79180EEC">
        <w:rPr>
          <w:rFonts w:cs="Calibri"/>
          <w:lang w:val="en-GB"/>
        </w:rPr>
        <w:t xml:space="preserve"> of the Serbian economy.</w:t>
      </w:r>
    </w:p>
    <w:p w14:paraId="3D9E0B52" w14:textId="393DFDFF" w:rsidR="005F6900" w:rsidRPr="00E413B4" w:rsidRDefault="005F6900" w:rsidP="79180EEC">
      <w:pPr>
        <w:spacing w:before="100" w:beforeAutospacing="1" w:after="100" w:afterAutospacing="1"/>
        <w:jc w:val="both"/>
        <w:rPr>
          <w:rFonts w:cs="Calibri"/>
          <w:lang w:val="en-GB"/>
        </w:rPr>
      </w:pPr>
      <w:r w:rsidRPr="79180EEC">
        <w:rPr>
          <w:rFonts w:cs="Calibri"/>
          <w:lang w:val="en-GB"/>
        </w:rPr>
        <w:t xml:space="preserve">In addition to these initiatives, </w:t>
      </w:r>
      <w:r w:rsidR="00A02FA8" w:rsidRPr="79180EEC">
        <w:rPr>
          <w:rFonts w:cs="Calibri"/>
          <w:lang w:val="en-GB"/>
        </w:rPr>
        <w:t xml:space="preserve">the </w:t>
      </w:r>
      <w:r w:rsidR="00404CED" w:rsidRPr="79180EEC">
        <w:rPr>
          <w:rFonts w:cs="Calibri"/>
          <w:lang w:val="en-GB"/>
        </w:rPr>
        <w:t xml:space="preserve">office of the </w:t>
      </w:r>
      <w:r w:rsidR="00A02FA8" w:rsidRPr="79180EEC">
        <w:rPr>
          <w:rFonts w:cs="Calibri"/>
          <w:lang w:val="en-GB"/>
        </w:rPr>
        <w:t>United Nations Development Programme (</w:t>
      </w:r>
      <w:r w:rsidRPr="79180EEC">
        <w:rPr>
          <w:rFonts w:cs="Calibri"/>
          <w:lang w:val="en-GB"/>
        </w:rPr>
        <w:t>UNDP</w:t>
      </w:r>
      <w:r w:rsidR="00A02FA8" w:rsidRPr="79180EEC">
        <w:rPr>
          <w:rFonts w:cs="Calibri"/>
          <w:lang w:val="en-GB"/>
        </w:rPr>
        <w:t>)</w:t>
      </w:r>
      <w:r w:rsidRPr="79180EEC">
        <w:rPr>
          <w:rFonts w:cs="Calibri"/>
          <w:lang w:val="en-GB"/>
        </w:rPr>
        <w:t xml:space="preserve"> in Serbia is actively working to improve coordination between the financial and business sectors in the green transition process. Through various projects, UNDP supports innovative ideas and provides seed money for their implementation, with financial support from the European Union and the Government of Switzerland.</w:t>
      </w:r>
    </w:p>
    <w:p w14:paraId="73252D57" w14:textId="5183B0FF" w:rsidR="005F6900" w:rsidRPr="00E413B4" w:rsidRDefault="005F6900" w:rsidP="79180EEC">
      <w:pPr>
        <w:spacing w:before="100" w:beforeAutospacing="1" w:after="100" w:afterAutospacing="1"/>
        <w:jc w:val="both"/>
        <w:rPr>
          <w:rFonts w:cs="Calibri"/>
          <w:lang w:val="en-GB"/>
        </w:rPr>
      </w:pPr>
      <w:r w:rsidRPr="79180EEC">
        <w:rPr>
          <w:rFonts w:cs="Calibri"/>
          <w:lang w:val="en-GB"/>
        </w:rPr>
        <w:t xml:space="preserve">Despite these efforts, green finance in Serbia has not yet reached its full potential. The lack of information and awareness about available financial instruments poses a challenge for many companies and households. Further development of the regulatory framework and </w:t>
      </w:r>
      <w:r w:rsidR="00740BD2" w:rsidRPr="79180EEC">
        <w:rPr>
          <w:rFonts w:cs="Calibri"/>
          <w:lang w:val="en-GB"/>
        </w:rPr>
        <w:t xml:space="preserve">increased </w:t>
      </w:r>
      <w:r w:rsidRPr="79180EEC">
        <w:rPr>
          <w:rFonts w:cs="Calibri"/>
          <w:lang w:val="en-GB"/>
        </w:rPr>
        <w:t>availability of financial resources are key to accelerating the green transition in Serbia.</w:t>
      </w:r>
      <w:bookmarkStart w:id="7" w:name="_Hlk191540212"/>
    </w:p>
    <w:p w14:paraId="744959AA" w14:textId="77777777" w:rsidR="005F6900" w:rsidRPr="00E413B4" w:rsidRDefault="005F6900" w:rsidP="005F6900">
      <w:pPr>
        <w:pStyle w:val="Heading1"/>
        <w:spacing w:before="0" w:after="0"/>
        <w:rPr>
          <w:rFonts w:asciiTheme="minorHAnsi" w:hAnsiTheme="minorHAnsi" w:cstheme="minorHAnsi"/>
          <w:b/>
          <w:color w:val="auto"/>
          <w:sz w:val="22"/>
          <w:szCs w:val="22"/>
          <w:lang w:val="en-GB"/>
        </w:rPr>
      </w:pPr>
      <w:bookmarkStart w:id="8" w:name="_Toc195167990"/>
      <w:r w:rsidRPr="00E413B4">
        <w:rPr>
          <w:rFonts w:asciiTheme="minorHAnsi" w:hAnsiTheme="minorHAnsi" w:cstheme="minorHAnsi"/>
          <w:b/>
          <w:color w:val="auto"/>
          <w:sz w:val="22"/>
          <w:szCs w:val="22"/>
          <w:lang w:val="en-GB"/>
        </w:rPr>
        <w:t>3. Greening business, principles and criteria of green financing</w:t>
      </w:r>
      <w:bookmarkEnd w:id="8"/>
      <w:r w:rsidRPr="00E413B4">
        <w:rPr>
          <w:rFonts w:asciiTheme="minorHAnsi" w:hAnsiTheme="minorHAnsi" w:cstheme="minorHAnsi"/>
          <w:b/>
          <w:color w:val="auto"/>
          <w:sz w:val="22"/>
          <w:szCs w:val="22"/>
          <w:lang w:val="en-GB"/>
        </w:rPr>
        <w:t xml:space="preserve"> </w:t>
      </w:r>
    </w:p>
    <w:p w14:paraId="3D01C0B9" w14:textId="77777777" w:rsidR="005F6900" w:rsidRPr="00E413B4" w:rsidRDefault="005F6900" w:rsidP="005F6900">
      <w:pPr>
        <w:jc w:val="both"/>
        <w:rPr>
          <w:lang w:val="en-GB"/>
        </w:rPr>
      </w:pPr>
    </w:p>
    <w:p w14:paraId="074B5DB1" w14:textId="77777777" w:rsidR="005F6900" w:rsidRPr="00E413B4" w:rsidRDefault="005F6900" w:rsidP="005F6900">
      <w:pPr>
        <w:jc w:val="both"/>
        <w:rPr>
          <w:lang w:val="en-GB"/>
        </w:rPr>
      </w:pPr>
      <w:r w:rsidRPr="00E413B4">
        <w:rPr>
          <w:lang w:val="en-GB"/>
        </w:rPr>
        <w:lastRenderedPageBreak/>
        <w:t>In general, green entrepreneurship and the green economy are key components for sustainable development and environmental protection. The green economy, as an economic model, emphasizes reducing the negative impact of human activities on nature, while green entrepreneurship encourages entrepreneurs to develop innovative, environmentally responsible products and services.</w:t>
      </w:r>
    </w:p>
    <w:p w14:paraId="7155F2AA" w14:textId="77777777" w:rsidR="005F6900" w:rsidRPr="00E413B4" w:rsidRDefault="005F6900" w:rsidP="005F6900">
      <w:pPr>
        <w:jc w:val="both"/>
        <w:rPr>
          <w:lang w:val="en-GB"/>
        </w:rPr>
      </w:pPr>
    </w:p>
    <w:p w14:paraId="2ABFB7B4" w14:textId="1D9E4FF7" w:rsidR="005F6900" w:rsidRPr="00E413B4" w:rsidRDefault="005F6900" w:rsidP="005F6900">
      <w:pPr>
        <w:jc w:val="both"/>
        <w:rPr>
          <w:lang w:val="en-GB"/>
        </w:rPr>
      </w:pPr>
      <w:r w:rsidRPr="79180EEC">
        <w:rPr>
          <w:lang w:val="en-GB"/>
        </w:rPr>
        <w:t xml:space="preserve">The benefits to the wider community from </w:t>
      </w:r>
      <w:r w:rsidR="00FD77D4" w:rsidRPr="79180EEC">
        <w:rPr>
          <w:lang w:val="en-GB"/>
        </w:rPr>
        <w:t>’</w:t>
      </w:r>
      <w:r w:rsidRPr="79180EEC">
        <w:rPr>
          <w:lang w:val="en-GB"/>
        </w:rPr>
        <w:t>greening</w:t>
      </w:r>
      <w:r w:rsidR="00FD77D4" w:rsidRPr="79180EEC">
        <w:rPr>
          <w:lang w:val="en-GB"/>
        </w:rPr>
        <w:t>’</w:t>
      </w:r>
      <w:r w:rsidRPr="79180EEC">
        <w:rPr>
          <w:lang w:val="en-GB"/>
        </w:rPr>
        <w:t xml:space="preserve"> business are reflected in the definitions of green business</w:t>
      </w:r>
      <w:r w:rsidR="00470022" w:rsidRPr="79180EEC">
        <w:rPr>
          <w:lang w:val="en-GB"/>
        </w:rPr>
        <w:t>:</w:t>
      </w:r>
      <w:r w:rsidR="00470022">
        <w:rPr>
          <w:lang w:val="en-GB"/>
        </w:rPr>
        <w:t xml:space="preserve"> </w:t>
      </w:r>
      <w:r w:rsidR="00470022" w:rsidRPr="79180EEC">
        <w:rPr>
          <w:lang w:val="en-GB"/>
        </w:rPr>
        <w:t>”It</w:t>
      </w:r>
      <w:r w:rsidRPr="79180EEC">
        <w:rPr>
          <w:lang w:val="en-GB"/>
        </w:rPr>
        <w:t xml:space="preserve"> is an economy that contributes to the common good and social equity while significantly reducing environmental risks and the further exploitation of natural resources.</w:t>
      </w:r>
      <w:r w:rsidR="00B47467" w:rsidRPr="79180EEC">
        <w:rPr>
          <w:lang w:val="en-GB"/>
        </w:rPr>
        <w:t>”</w:t>
      </w:r>
      <w:r w:rsidRPr="79180EEC">
        <w:rPr>
          <w:lang w:val="en-GB"/>
        </w:rPr>
        <w:t xml:space="preserve"> (United Nations </w:t>
      </w:r>
      <w:r w:rsidR="00B47467" w:rsidRPr="79180EEC">
        <w:rPr>
          <w:lang w:val="en-GB"/>
        </w:rPr>
        <w:t>"</w:t>
      </w:r>
      <w:r w:rsidRPr="79180EEC">
        <w:rPr>
          <w:lang w:val="en-GB"/>
        </w:rPr>
        <w:t>An economy that is resilient and capable of creating a better quality of life for all within the ecological limits of the planet.” (Green Economy Coalition).</w:t>
      </w:r>
    </w:p>
    <w:p w14:paraId="17F745C4" w14:textId="77777777" w:rsidR="005F6900" w:rsidRPr="00E413B4" w:rsidRDefault="005F6900" w:rsidP="005F6900">
      <w:pPr>
        <w:jc w:val="both"/>
        <w:rPr>
          <w:lang w:val="en-GB"/>
        </w:rPr>
      </w:pPr>
    </w:p>
    <w:p w14:paraId="043C2DB9" w14:textId="14361CFE" w:rsidR="005F6900" w:rsidRPr="00E413B4" w:rsidRDefault="005F6900" w:rsidP="005F6900">
      <w:pPr>
        <w:jc w:val="both"/>
        <w:rPr>
          <w:lang w:val="en-GB"/>
        </w:rPr>
      </w:pPr>
      <w:r w:rsidRPr="79180EEC">
        <w:rPr>
          <w:lang w:val="en-GB"/>
        </w:rPr>
        <w:t xml:space="preserve">The fact is that successful companies recognize the importance of investing their resources in environmental protection (among other things, this is why they are recognized as successful), because they not only want to meet their legal obligations, but they are also not willing to jeopardize their corporate image, reputation, and thus their business through irresponsible </w:t>
      </w:r>
      <w:r w:rsidR="006C14AD" w:rsidRPr="79180EEC">
        <w:rPr>
          <w:lang w:val="en-GB"/>
        </w:rPr>
        <w:t>behaviour</w:t>
      </w:r>
      <w:r w:rsidRPr="79180EEC">
        <w:rPr>
          <w:lang w:val="en-GB"/>
        </w:rPr>
        <w:t xml:space="preserve">. </w:t>
      </w:r>
      <w:r w:rsidR="006C14AD" w:rsidRPr="79180EEC">
        <w:rPr>
          <w:lang w:val="en-GB"/>
        </w:rPr>
        <w:t>More</w:t>
      </w:r>
      <w:r w:rsidRPr="79180EEC">
        <w:rPr>
          <w:lang w:val="en-GB"/>
        </w:rPr>
        <w:t xml:space="preserve"> companies are basing their business strategy on reducing the amount of material incorporated into products, reducing energy and raw material consumption in production, and designing products with a longer lifespan and suitable for repair or recycling.</w:t>
      </w:r>
    </w:p>
    <w:p w14:paraId="13B2CA8E" w14:textId="77777777" w:rsidR="005F6900" w:rsidRPr="00E413B4" w:rsidRDefault="005F6900" w:rsidP="005F6900">
      <w:pPr>
        <w:jc w:val="both"/>
        <w:rPr>
          <w:lang w:val="en-GB"/>
        </w:rPr>
      </w:pPr>
    </w:p>
    <w:p w14:paraId="4D1173D7" w14:textId="403F4D42" w:rsidR="005F6900" w:rsidRPr="00E413B4" w:rsidRDefault="005F6900" w:rsidP="005F6900">
      <w:pPr>
        <w:jc w:val="both"/>
        <w:rPr>
          <w:lang w:val="en-GB"/>
        </w:rPr>
      </w:pPr>
      <w:r w:rsidRPr="79180EEC">
        <w:rPr>
          <w:lang w:val="en-GB"/>
        </w:rPr>
        <w:t>The benefits of greening from the perspective of SMEs can be viewed through various aspects:</w:t>
      </w:r>
    </w:p>
    <w:p w14:paraId="3195D92C" w14:textId="77777777" w:rsidR="005F6900" w:rsidRPr="00E413B4" w:rsidRDefault="005F6900" w:rsidP="005F6900">
      <w:pPr>
        <w:jc w:val="both"/>
        <w:rPr>
          <w:lang w:val="en-GB"/>
        </w:rPr>
      </w:pPr>
    </w:p>
    <w:p w14:paraId="5CB92D32" w14:textId="35C11622" w:rsidR="005F6900" w:rsidRPr="00E413B4" w:rsidRDefault="005F6900" w:rsidP="005F6900">
      <w:pPr>
        <w:pStyle w:val="ListParagraph"/>
        <w:numPr>
          <w:ilvl w:val="0"/>
          <w:numId w:val="1"/>
        </w:numPr>
        <w:jc w:val="both"/>
        <w:rPr>
          <w:lang w:val="en-GB"/>
        </w:rPr>
      </w:pPr>
      <w:r w:rsidRPr="79180EEC">
        <w:rPr>
          <w:b/>
          <w:bCs/>
          <w:lang w:val="en-GB"/>
        </w:rPr>
        <w:t xml:space="preserve">Financial benefits: </w:t>
      </w:r>
      <w:r w:rsidRPr="79180EEC">
        <w:rPr>
          <w:lang w:val="en-GB"/>
        </w:rPr>
        <w:t xml:space="preserve">Entrepreneurs can </w:t>
      </w:r>
      <w:r w:rsidR="00E9337D" w:rsidRPr="79180EEC">
        <w:rPr>
          <w:lang w:val="en-GB"/>
        </w:rPr>
        <w:t>realise</w:t>
      </w:r>
      <w:r w:rsidRPr="79180EEC">
        <w:rPr>
          <w:lang w:val="en-GB"/>
        </w:rPr>
        <w:t xml:space="preserve"> significant savings through reduced energy, material and resource costs. There are also numerous subsidies and preferential loans specialized for green initiatives, which allow for more </w:t>
      </w:r>
      <w:r w:rsidR="00B47467" w:rsidRPr="79180EEC">
        <w:rPr>
          <w:lang w:val="en-GB"/>
        </w:rPr>
        <w:t>favourable</w:t>
      </w:r>
      <w:r w:rsidRPr="79180EEC">
        <w:rPr>
          <w:lang w:val="en-GB"/>
        </w:rPr>
        <w:t xml:space="preserve"> financing of investments in energy efficiency, renewable energy sources and environmental technologies. These financial incentives can significantly improve long-term profitability.</w:t>
      </w:r>
    </w:p>
    <w:p w14:paraId="4707CA8E" w14:textId="77777777" w:rsidR="005F6900" w:rsidRPr="00E413B4" w:rsidRDefault="005F6900" w:rsidP="005F6900">
      <w:pPr>
        <w:jc w:val="both"/>
        <w:rPr>
          <w:lang w:val="en-GB"/>
        </w:rPr>
      </w:pPr>
    </w:p>
    <w:p w14:paraId="10F278F0" w14:textId="1B4868D6" w:rsidR="005F6900" w:rsidRPr="00E413B4" w:rsidRDefault="005F6900" w:rsidP="005F6900">
      <w:pPr>
        <w:pStyle w:val="ListParagraph"/>
        <w:numPr>
          <w:ilvl w:val="0"/>
          <w:numId w:val="1"/>
        </w:numPr>
        <w:jc w:val="both"/>
        <w:rPr>
          <w:lang w:val="en-GB"/>
        </w:rPr>
      </w:pPr>
      <w:r w:rsidRPr="79180EEC">
        <w:rPr>
          <w:b/>
          <w:bCs/>
          <w:lang w:val="en-GB"/>
        </w:rPr>
        <w:t xml:space="preserve">Operational </w:t>
      </w:r>
      <w:r w:rsidR="006C14AD" w:rsidRPr="79180EEC">
        <w:rPr>
          <w:b/>
          <w:bCs/>
          <w:lang w:val="en-GB"/>
        </w:rPr>
        <w:t>b</w:t>
      </w:r>
      <w:r w:rsidRPr="79180EEC">
        <w:rPr>
          <w:b/>
          <w:bCs/>
          <w:lang w:val="en-GB"/>
        </w:rPr>
        <w:t xml:space="preserve">enefits: </w:t>
      </w:r>
      <w:r w:rsidRPr="79180EEC">
        <w:rPr>
          <w:lang w:val="en-GB"/>
        </w:rPr>
        <w:t xml:space="preserve">Implementing green practices leads to greater efficiency in business. </w:t>
      </w:r>
      <w:r w:rsidR="00267B2E" w:rsidRPr="79180EEC">
        <w:rPr>
          <w:lang w:val="en-GB"/>
        </w:rPr>
        <w:t>Optimising</w:t>
      </w:r>
      <w:r w:rsidRPr="79180EEC">
        <w:rPr>
          <w:lang w:val="en-GB"/>
        </w:rPr>
        <w:t xml:space="preserve"> the consumption of resources such as energy, water, and raw materials not only reduces costs, but also reduces waste and pollution. These changes can contribute to higher productivity and better organi</w:t>
      </w:r>
      <w:r w:rsidR="00F50E7D" w:rsidRPr="79180EEC">
        <w:rPr>
          <w:lang w:val="en-GB"/>
        </w:rPr>
        <w:t>s</w:t>
      </w:r>
      <w:r w:rsidRPr="79180EEC">
        <w:rPr>
          <w:lang w:val="en-GB"/>
        </w:rPr>
        <w:t>ation of business processes, which positively affects overall operational efficiency.</w:t>
      </w:r>
    </w:p>
    <w:p w14:paraId="41165060" w14:textId="77777777" w:rsidR="005F6900" w:rsidRPr="00E413B4" w:rsidRDefault="005F6900" w:rsidP="005F6900">
      <w:pPr>
        <w:jc w:val="both"/>
        <w:rPr>
          <w:lang w:val="en-GB"/>
        </w:rPr>
      </w:pPr>
    </w:p>
    <w:p w14:paraId="10164DC4" w14:textId="77777777" w:rsidR="005F6900" w:rsidRPr="00E413B4" w:rsidRDefault="005F6900" w:rsidP="005F6900">
      <w:pPr>
        <w:pStyle w:val="ListParagraph"/>
        <w:numPr>
          <w:ilvl w:val="0"/>
          <w:numId w:val="1"/>
        </w:numPr>
        <w:jc w:val="both"/>
        <w:rPr>
          <w:lang w:val="en-GB"/>
        </w:rPr>
      </w:pPr>
      <w:r w:rsidRPr="00E413B4">
        <w:rPr>
          <w:b/>
          <w:lang w:val="en-GB"/>
        </w:rPr>
        <w:t xml:space="preserve">Reputational benefits: </w:t>
      </w:r>
      <w:r w:rsidRPr="00E413B4">
        <w:rPr>
          <w:lang w:val="en-GB"/>
        </w:rPr>
        <w:t>Going green improves a company's image, which can lead to greater recognition in the marketplace. A green approach to business increases consumer trust and strengthens the loyalty of existing customers, while attracting new ones who value a responsible and sustainable approach. Companies that excel in green practices often receive better ratings in the eyes of the public, which can enhance their brand and competitiveness.</w:t>
      </w:r>
    </w:p>
    <w:p w14:paraId="42B21858" w14:textId="77777777" w:rsidR="005F6900" w:rsidRPr="00E413B4" w:rsidRDefault="005F6900" w:rsidP="005F6900">
      <w:pPr>
        <w:jc w:val="both"/>
        <w:rPr>
          <w:lang w:val="en-GB"/>
        </w:rPr>
      </w:pPr>
    </w:p>
    <w:p w14:paraId="455CAE07" w14:textId="474534DF" w:rsidR="005F6900" w:rsidRPr="00E413B4" w:rsidRDefault="005F6900" w:rsidP="005F6900">
      <w:pPr>
        <w:pStyle w:val="ListParagraph"/>
        <w:numPr>
          <w:ilvl w:val="0"/>
          <w:numId w:val="1"/>
        </w:numPr>
        <w:jc w:val="both"/>
        <w:rPr>
          <w:lang w:val="en-GB"/>
        </w:rPr>
      </w:pPr>
      <w:r w:rsidRPr="79180EEC">
        <w:rPr>
          <w:b/>
          <w:bCs/>
          <w:lang w:val="en-GB"/>
        </w:rPr>
        <w:t xml:space="preserve">Regulatory benefits: </w:t>
      </w:r>
      <w:r w:rsidRPr="79180EEC">
        <w:rPr>
          <w:lang w:val="en-GB"/>
        </w:rPr>
        <w:t xml:space="preserve">Shifting business towards sustainable practices makes it easier to comply with legislation, especially </w:t>
      </w:r>
      <w:r w:rsidR="00267B2E" w:rsidRPr="79180EEC">
        <w:rPr>
          <w:lang w:val="en-GB"/>
        </w:rPr>
        <w:t>in</w:t>
      </w:r>
      <w:r w:rsidRPr="79180EEC">
        <w:rPr>
          <w:lang w:val="en-GB"/>
        </w:rPr>
        <w:t xml:space="preserve"> environmental protection. MSMEs that implement green practices often have better access to public procurement, as </w:t>
      </w:r>
      <w:r w:rsidR="00267B2E" w:rsidRPr="79180EEC">
        <w:rPr>
          <w:lang w:val="en-GB"/>
        </w:rPr>
        <w:t>more</w:t>
      </w:r>
      <w:r w:rsidRPr="79180EEC">
        <w:rPr>
          <w:lang w:val="en-GB"/>
        </w:rPr>
        <w:t xml:space="preserve"> tenders require compliance with environmental standards. This compliance reduces the risk of legal problems and can open the door to new business opportunities.</w:t>
      </w:r>
      <w:bookmarkEnd w:id="7"/>
    </w:p>
    <w:p w14:paraId="50B0A0B0" w14:textId="77777777" w:rsidR="005F6900" w:rsidRPr="00E413B4" w:rsidRDefault="005F6900" w:rsidP="005F6900">
      <w:pPr>
        <w:spacing w:before="100" w:beforeAutospacing="1" w:after="100" w:afterAutospacing="1"/>
        <w:outlineLvl w:val="2"/>
        <w:rPr>
          <w:rFonts w:cs="Calibri"/>
          <w:lang w:val="en-GB" w:eastAsia="en-GB"/>
        </w:rPr>
      </w:pPr>
      <w:bookmarkStart w:id="9" w:name="_Toc195167991"/>
      <w:r w:rsidRPr="00E413B4">
        <w:rPr>
          <w:rFonts w:asciiTheme="minorHAnsi" w:hAnsiTheme="minorHAnsi"/>
          <w:lang w:val="en-GB"/>
        </w:rPr>
        <w:t xml:space="preserve">3.1. </w:t>
      </w:r>
      <w:r w:rsidRPr="00E413B4">
        <w:rPr>
          <w:rFonts w:cs="Calibri"/>
          <w:lang w:val="en-GB" w:eastAsia="en-GB"/>
        </w:rPr>
        <w:t>Principles and criteria of green financing</w:t>
      </w:r>
      <w:bookmarkEnd w:id="9"/>
      <w:r w:rsidRPr="00E413B4">
        <w:rPr>
          <w:rFonts w:cs="Calibri"/>
          <w:lang w:val="en-GB" w:eastAsia="en-GB"/>
        </w:rPr>
        <w:t xml:space="preserve"> </w:t>
      </w:r>
    </w:p>
    <w:p w14:paraId="231154FC" w14:textId="0709AF70" w:rsidR="005F6900" w:rsidRPr="00E413B4" w:rsidRDefault="005F6900" w:rsidP="79180EEC">
      <w:pPr>
        <w:spacing w:before="100" w:beforeAutospacing="1" w:after="100" w:afterAutospacing="1"/>
        <w:rPr>
          <w:rFonts w:cs="Calibri"/>
          <w:lang w:val="en-GB" w:eastAsia="en-GB"/>
        </w:rPr>
      </w:pPr>
      <w:r w:rsidRPr="79180EEC">
        <w:rPr>
          <w:rFonts w:cs="Calibri"/>
          <w:lang w:val="en-GB" w:eastAsia="en-GB"/>
        </w:rPr>
        <w:t xml:space="preserve">Green financing relies on various principles and criteria that allow for the identification of investments and projects that have a positive impact on the environment and </w:t>
      </w:r>
      <w:r w:rsidR="00267B2E" w:rsidRPr="79180EEC">
        <w:rPr>
          <w:rFonts w:cs="Calibri"/>
          <w:lang w:val="en-GB" w:eastAsia="en-GB"/>
        </w:rPr>
        <w:t>society</w:t>
      </w:r>
      <w:r w:rsidRPr="79180EEC">
        <w:rPr>
          <w:rFonts w:cs="Calibri"/>
          <w:lang w:val="en-GB" w:eastAsia="en-GB"/>
        </w:rPr>
        <w:t>. The aim is to support sustainable activities that contribute to reducing the negative impact on the planet and improving social conditions.</w:t>
      </w:r>
    </w:p>
    <w:p w14:paraId="726E5396" w14:textId="77777777" w:rsidR="00470022" w:rsidRDefault="00470022" w:rsidP="79180EEC">
      <w:pPr>
        <w:rPr>
          <w:b/>
          <w:bCs/>
          <w:i/>
          <w:iCs/>
          <w:lang w:val="en-GB"/>
        </w:rPr>
      </w:pPr>
    </w:p>
    <w:p w14:paraId="70B18200" w14:textId="77777777" w:rsidR="00470022" w:rsidRDefault="00470022" w:rsidP="79180EEC">
      <w:pPr>
        <w:rPr>
          <w:b/>
          <w:bCs/>
          <w:i/>
          <w:iCs/>
          <w:lang w:val="en-GB"/>
        </w:rPr>
      </w:pPr>
    </w:p>
    <w:p w14:paraId="63C4C773" w14:textId="77777777" w:rsidR="00470022" w:rsidRDefault="00470022" w:rsidP="79180EEC">
      <w:pPr>
        <w:rPr>
          <w:b/>
          <w:bCs/>
          <w:i/>
          <w:iCs/>
          <w:lang w:val="en-GB"/>
        </w:rPr>
      </w:pPr>
    </w:p>
    <w:p w14:paraId="6AF6013D" w14:textId="0F2463B1" w:rsidR="005F6900" w:rsidRPr="00E413B4" w:rsidRDefault="005F6900" w:rsidP="79180EEC">
      <w:pPr>
        <w:rPr>
          <w:b/>
          <w:bCs/>
          <w:i/>
          <w:iCs/>
          <w:lang w:val="en-GB"/>
        </w:rPr>
      </w:pPr>
      <w:r w:rsidRPr="79180EEC">
        <w:rPr>
          <w:b/>
          <w:bCs/>
          <w:i/>
          <w:iCs/>
          <w:lang w:val="en-GB"/>
        </w:rPr>
        <w:lastRenderedPageBreak/>
        <w:t>ESG (Environmental, Social</w:t>
      </w:r>
      <w:r w:rsidR="00470022">
        <w:rPr>
          <w:b/>
          <w:bCs/>
          <w:i/>
          <w:iCs/>
          <w:lang w:val="en-GB"/>
        </w:rPr>
        <w:t>,</w:t>
      </w:r>
      <w:r w:rsidRPr="79180EEC">
        <w:rPr>
          <w:b/>
          <w:bCs/>
          <w:i/>
          <w:iCs/>
          <w:lang w:val="en-GB"/>
        </w:rPr>
        <w:t xml:space="preserve"> and Governance)</w:t>
      </w:r>
      <w:r w:rsidR="00267B2E" w:rsidRPr="79180EEC">
        <w:rPr>
          <w:b/>
          <w:bCs/>
          <w:i/>
          <w:iCs/>
          <w:lang w:val="en-GB"/>
        </w:rPr>
        <w:t xml:space="preserve"> criteria</w:t>
      </w:r>
      <w:r w:rsidRPr="79180EEC">
        <w:rPr>
          <w:b/>
          <w:bCs/>
          <w:i/>
          <w:iCs/>
          <w:vertAlign w:val="superscript"/>
          <w:lang w:val="en-GB"/>
        </w:rPr>
        <w:footnoteReference w:id="4"/>
      </w:r>
    </w:p>
    <w:p w14:paraId="7A9A7C1D" w14:textId="34303ED7"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ESG </w:t>
      </w:r>
      <w:r w:rsidRPr="79180EEC">
        <w:rPr>
          <w:rFonts w:cs="Calibri"/>
          <w:lang w:val="en-GB" w:eastAsia="en-GB"/>
        </w:rPr>
        <w:t>(Environmental, Social, Governance) criteria are benchmarks used to assess the sustainability and social responsibility of companies. These criteria help investors assess how certain activities and projects may impact the environment, society and the way they are managed.</w:t>
      </w:r>
    </w:p>
    <w:p w14:paraId="13986796" w14:textId="6BADDF58" w:rsidR="005F6900" w:rsidRPr="00E413B4" w:rsidRDefault="005F6900" w:rsidP="005F6900">
      <w:pPr>
        <w:jc w:val="both"/>
        <w:rPr>
          <w:rFonts w:cs="Calibri"/>
          <w:lang w:val="en-GB" w:eastAsia="en-GB"/>
        </w:rPr>
      </w:pPr>
      <w:r w:rsidRPr="79180EEC">
        <w:rPr>
          <w:rFonts w:cs="Calibri"/>
          <w:b/>
          <w:bCs/>
          <w:lang w:val="en-GB" w:eastAsia="en-GB"/>
        </w:rPr>
        <w:t>Environmental criterion</w:t>
      </w:r>
      <w:r w:rsidRPr="79180EEC">
        <w:rPr>
          <w:rFonts w:cs="Calibri"/>
          <w:lang w:val="en-GB" w:eastAsia="en-GB"/>
        </w:rPr>
        <w:t>: The project for which funding is requested must demonstrate a clear positive impact on the environment, such as reducing carbon dioxide emissions, promoting renewable energy sources, protecting natural resources or increasing energy efficiency. This criterion therefore focuses on the environmental impact of projects, such as the use of renewable energy sources, reducing harmful emissions, protecting biodiversity and energy efficiency.</w:t>
      </w:r>
    </w:p>
    <w:p w14:paraId="58CAB37E" w14:textId="77777777" w:rsidR="005F6900" w:rsidRPr="00E413B4" w:rsidRDefault="005F6900" w:rsidP="005F6900">
      <w:pPr>
        <w:pStyle w:val="NoSpacing"/>
        <w:rPr>
          <w:b/>
          <w:lang w:val="en-GB" w:eastAsia="en-GB"/>
        </w:rPr>
      </w:pPr>
    </w:p>
    <w:p w14:paraId="7354C5FB" w14:textId="77777777" w:rsidR="005F6900" w:rsidRPr="00E413B4" w:rsidRDefault="005F6900" w:rsidP="005F6900">
      <w:pPr>
        <w:pStyle w:val="NoSpacing"/>
        <w:ind w:firstLine="360"/>
        <w:rPr>
          <w:b/>
          <w:lang w:val="en-GB" w:eastAsia="en-GB"/>
        </w:rPr>
      </w:pPr>
      <w:r w:rsidRPr="00E413B4">
        <w:rPr>
          <w:b/>
          <w:lang w:val="en-GB" w:eastAsia="en-GB"/>
        </w:rPr>
        <w:t>Examples of questions for self-evaluation of the project's environmental criteria:</w:t>
      </w:r>
    </w:p>
    <w:p w14:paraId="163C2CE4" w14:textId="77777777" w:rsidR="005F6900" w:rsidRPr="00E413B4" w:rsidRDefault="005F6900" w:rsidP="005F6900">
      <w:pPr>
        <w:pStyle w:val="NoSpacing"/>
        <w:numPr>
          <w:ilvl w:val="0"/>
          <w:numId w:val="36"/>
        </w:numPr>
        <w:rPr>
          <w:lang w:val="en-GB" w:eastAsia="en-GB"/>
        </w:rPr>
      </w:pPr>
      <w:r w:rsidRPr="00E413B4">
        <w:rPr>
          <w:lang w:val="en-GB" w:eastAsia="en-GB"/>
        </w:rPr>
        <w:t>Are we monitoring and reducing energy and water consumption?</w:t>
      </w:r>
      <w:r w:rsidRPr="00E413B4">
        <w:rPr>
          <w:lang w:val="en-GB" w:eastAsia="en-GB"/>
        </w:rPr>
        <w:tab/>
      </w:r>
      <w:r w:rsidRPr="00E413B4">
        <w:rPr>
          <w:lang w:val="en-GB" w:eastAsia="en-GB"/>
        </w:rPr>
        <w:tab/>
      </w:r>
    </w:p>
    <w:p w14:paraId="1D92E04D" w14:textId="77777777" w:rsidR="005F6900" w:rsidRPr="00E413B4" w:rsidRDefault="005F6900" w:rsidP="005F6900">
      <w:pPr>
        <w:pStyle w:val="NoSpacing"/>
        <w:numPr>
          <w:ilvl w:val="0"/>
          <w:numId w:val="36"/>
        </w:numPr>
        <w:rPr>
          <w:lang w:val="en-GB" w:eastAsia="en-GB"/>
        </w:rPr>
      </w:pPr>
      <w:r w:rsidRPr="00E413B4">
        <w:rPr>
          <w:lang w:val="en-GB" w:eastAsia="en-GB"/>
        </w:rPr>
        <w:t>Are we managing waste in an environmentally friendly way?</w:t>
      </w:r>
      <w:r w:rsidRPr="00E413B4">
        <w:rPr>
          <w:lang w:val="en-GB" w:eastAsia="en-GB"/>
        </w:rPr>
        <w:tab/>
      </w:r>
      <w:r w:rsidRPr="00E413B4">
        <w:rPr>
          <w:lang w:val="en-GB" w:eastAsia="en-GB"/>
        </w:rPr>
        <w:tab/>
      </w:r>
    </w:p>
    <w:p w14:paraId="26B3A9AA" w14:textId="77777777" w:rsidR="005F6900" w:rsidRPr="00E413B4" w:rsidRDefault="005F6900" w:rsidP="005F6900">
      <w:pPr>
        <w:pStyle w:val="NoSpacing"/>
        <w:numPr>
          <w:ilvl w:val="0"/>
          <w:numId w:val="36"/>
        </w:numPr>
        <w:rPr>
          <w:lang w:val="en-GB" w:eastAsia="en-GB"/>
        </w:rPr>
      </w:pPr>
      <w:r w:rsidRPr="00E413B4">
        <w:rPr>
          <w:lang w:val="en-GB" w:eastAsia="en-GB"/>
        </w:rPr>
        <w:t>Do we have a strategy for reducing greenhouse gas emissions?</w:t>
      </w:r>
    </w:p>
    <w:p w14:paraId="5580A15E" w14:textId="77777777" w:rsidR="005F6900" w:rsidRPr="00E413B4" w:rsidRDefault="005F6900" w:rsidP="005F6900">
      <w:pPr>
        <w:pStyle w:val="NoSpacing"/>
        <w:rPr>
          <w:lang w:val="en-GB" w:eastAsia="en-GB"/>
        </w:rPr>
      </w:pPr>
    </w:p>
    <w:p w14:paraId="42BB7F58" w14:textId="77777777" w:rsidR="005F6900" w:rsidRPr="00E413B4" w:rsidRDefault="005F6900" w:rsidP="005F6900">
      <w:pPr>
        <w:pStyle w:val="NoSpacing"/>
        <w:ind w:firstLine="349"/>
        <w:rPr>
          <w:b/>
          <w:lang w:val="en-GB" w:eastAsia="en-GB"/>
        </w:rPr>
      </w:pPr>
      <w:r w:rsidRPr="00E413B4">
        <w:rPr>
          <w:b/>
          <w:lang w:val="en-GB" w:eastAsia="en-GB"/>
        </w:rPr>
        <w:t>Examples of good practice:</w:t>
      </w:r>
    </w:p>
    <w:p w14:paraId="2E1137E6" w14:textId="77777777" w:rsidR="005F6900" w:rsidRPr="00E413B4" w:rsidRDefault="005F6900" w:rsidP="005F6900">
      <w:pPr>
        <w:pStyle w:val="NoSpacing"/>
        <w:numPr>
          <w:ilvl w:val="0"/>
          <w:numId w:val="39"/>
        </w:numPr>
        <w:ind w:left="709"/>
        <w:rPr>
          <w:lang w:val="en-GB" w:eastAsia="en-GB"/>
        </w:rPr>
      </w:pPr>
      <w:r w:rsidRPr="00E413B4">
        <w:rPr>
          <w:lang w:val="en-GB" w:eastAsia="en-GB"/>
        </w:rPr>
        <w:t>Installation of solar panels.</w:t>
      </w:r>
    </w:p>
    <w:p w14:paraId="659A3FBB" w14:textId="77777777" w:rsidR="005F6900" w:rsidRPr="00E413B4" w:rsidRDefault="005F6900" w:rsidP="005F6900">
      <w:pPr>
        <w:pStyle w:val="NoSpacing"/>
        <w:numPr>
          <w:ilvl w:val="0"/>
          <w:numId w:val="39"/>
        </w:numPr>
        <w:ind w:left="709"/>
        <w:rPr>
          <w:lang w:val="en-GB" w:eastAsia="en-GB"/>
        </w:rPr>
      </w:pPr>
      <w:r w:rsidRPr="00E413B4">
        <w:rPr>
          <w:lang w:val="en-GB" w:eastAsia="en-GB"/>
        </w:rPr>
        <w:t>Use of recycled or biodegradable materials.</w:t>
      </w:r>
    </w:p>
    <w:p w14:paraId="698BC638" w14:textId="77777777" w:rsidR="005F6900" w:rsidRPr="00E413B4" w:rsidRDefault="005F6900" w:rsidP="005F6900">
      <w:pPr>
        <w:pStyle w:val="NoSpacing"/>
        <w:numPr>
          <w:ilvl w:val="0"/>
          <w:numId w:val="39"/>
        </w:numPr>
        <w:ind w:left="709"/>
        <w:rPr>
          <w:lang w:val="en-GB" w:eastAsia="en-GB"/>
        </w:rPr>
      </w:pPr>
      <w:r w:rsidRPr="00E413B4">
        <w:rPr>
          <w:lang w:val="en-GB" w:eastAsia="en-GB"/>
        </w:rPr>
        <w:t>Reducing water consumption in production.</w:t>
      </w:r>
    </w:p>
    <w:p w14:paraId="324031A7" w14:textId="77777777" w:rsidR="005F6900" w:rsidRPr="00E413B4" w:rsidRDefault="005F6900" w:rsidP="005F6900">
      <w:pPr>
        <w:pStyle w:val="NoSpacing"/>
        <w:ind w:left="1440"/>
        <w:rPr>
          <w:lang w:val="en-GB" w:eastAsia="en-GB"/>
        </w:rPr>
      </w:pPr>
    </w:p>
    <w:p w14:paraId="63BDAF4E" w14:textId="78BF491C" w:rsidR="005F6900" w:rsidRPr="00E413B4" w:rsidRDefault="005F6900" w:rsidP="005F6900">
      <w:pPr>
        <w:jc w:val="both"/>
        <w:rPr>
          <w:rFonts w:cs="Calibri"/>
          <w:lang w:val="en-GB" w:eastAsia="en-GB"/>
        </w:rPr>
      </w:pPr>
      <w:r w:rsidRPr="79180EEC">
        <w:rPr>
          <w:rFonts w:cs="Calibri"/>
          <w:b/>
          <w:bCs/>
          <w:lang w:val="en-GB" w:eastAsia="en-GB"/>
        </w:rPr>
        <w:t>Social criterion</w:t>
      </w:r>
      <w:r w:rsidRPr="79180EEC">
        <w:rPr>
          <w:rFonts w:cs="Calibri"/>
          <w:lang w:val="en-GB" w:eastAsia="en-GB"/>
        </w:rPr>
        <w:t>: An assessment of how the project impacts the community, working conditions, human rights and occupational safety. Projects that improve living conditions, create jobs and promote equality may receive a higher rating. The project should therefore have a positive impact on society, such as better living conditions for the community, creating sustainable jobs or improving public health.</w:t>
      </w:r>
    </w:p>
    <w:p w14:paraId="7EFB22CB" w14:textId="77777777" w:rsidR="005F6900" w:rsidRPr="00E413B4" w:rsidRDefault="005F6900" w:rsidP="005F6900">
      <w:pPr>
        <w:pStyle w:val="NoSpacing"/>
        <w:rPr>
          <w:b/>
          <w:lang w:val="en-GB" w:eastAsia="en-GB"/>
        </w:rPr>
      </w:pPr>
    </w:p>
    <w:p w14:paraId="0372AF53" w14:textId="44F2462D" w:rsidR="005F6900" w:rsidRPr="00E413B4" w:rsidRDefault="005F6900" w:rsidP="005F6900">
      <w:pPr>
        <w:pStyle w:val="NoSpacing"/>
        <w:ind w:firstLine="360"/>
        <w:rPr>
          <w:b/>
          <w:lang w:val="en-GB" w:eastAsia="en-GB"/>
        </w:rPr>
      </w:pPr>
      <w:r w:rsidRPr="00E413B4">
        <w:rPr>
          <w:b/>
          <w:lang w:val="en-GB" w:eastAsia="en-GB"/>
        </w:rPr>
        <w:t>Examples of questions for self-evaluation of the social criteria of a project:</w:t>
      </w:r>
    </w:p>
    <w:p w14:paraId="61BCB414" w14:textId="77777777" w:rsidR="005F6900" w:rsidRPr="00E413B4" w:rsidRDefault="005F6900" w:rsidP="005F6900">
      <w:pPr>
        <w:pStyle w:val="NoSpacing"/>
        <w:numPr>
          <w:ilvl w:val="0"/>
          <w:numId w:val="37"/>
        </w:numPr>
        <w:rPr>
          <w:lang w:val="en-GB" w:eastAsia="en-GB"/>
        </w:rPr>
      </w:pPr>
      <w:r w:rsidRPr="00E413B4">
        <w:rPr>
          <w:lang w:val="en-GB" w:eastAsia="en-GB"/>
        </w:rPr>
        <w:t>Do we provide fair working conditions and equality?</w:t>
      </w:r>
      <w:r w:rsidRPr="00E413B4">
        <w:rPr>
          <w:lang w:val="en-GB" w:eastAsia="en-GB"/>
        </w:rPr>
        <w:tab/>
      </w:r>
      <w:r w:rsidRPr="00E413B4">
        <w:rPr>
          <w:lang w:val="en-GB" w:eastAsia="en-GB"/>
        </w:rPr>
        <w:tab/>
      </w:r>
    </w:p>
    <w:p w14:paraId="1F55548F" w14:textId="77777777" w:rsidR="005F6900" w:rsidRPr="00E413B4" w:rsidRDefault="005F6900" w:rsidP="005F6900">
      <w:pPr>
        <w:pStyle w:val="NoSpacing"/>
        <w:numPr>
          <w:ilvl w:val="0"/>
          <w:numId w:val="37"/>
        </w:numPr>
        <w:rPr>
          <w:lang w:val="en-GB" w:eastAsia="en-GB"/>
        </w:rPr>
      </w:pPr>
      <w:r w:rsidRPr="00E413B4">
        <w:rPr>
          <w:lang w:val="en-GB" w:eastAsia="en-GB"/>
        </w:rPr>
        <w:t>Are there employee training and feedback mechanisms?</w:t>
      </w:r>
      <w:r w:rsidRPr="00E413B4">
        <w:rPr>
          <w:lang w:val="en-GB" w:eastAsia="en-GB"/>
        </w:rPr>
        <w:tab/>
      </w:r>
      <w:r w:rsidRPr="00E413B4">
        <w:rPr>
          <w:lang w:val="en-GB" w:eastAsia="en-GB"/>
        </w:rPr>
        <w:tab/>
      </w:r>
    </w:p>
    <w:p w14:paraId="2799BE01" w14:textId="77777777" w:rsidR="005F6900" w:rsidRPr="00E413B4" w:rsidRDefault="005F6900" w:rsidP="005F6900">
      <w:pPr>
        <w:pStyle w:val="NoSpacing"/>
        <w:numPr>
          <w:ilvl w:val="0"/>
          <w:numId w:val="37"/>
        </w:numPr>
        <w:rPr>
          <w:lang w:val="en-GB" w:eastAsia="en-GB"/>
        </w:rPr>
      </w:pPr>
      <w:r w:rsidRPr="00E413B4">
        <w:rPr>
          <w:lang w:val="en-GB" w:eastAsia="en-GB"/>
        </w:rPr>
        <w:t>Do we collaborate with the community or local partners?</w:t>
      </w:r>
    </w:p>
    <w:p w14:paraId="501AEDDA" w14:textId="77777777" w:rsidR="005F6900" w:rsidRPr="00E413B4" w:rsidRDefault="005F6900" w:rsidP="005F6900">
      <w:pPr>
        <w:pStyle w:val="NoSpacing"/>
        <w:rPr>
          <w:lang w:val="en-GB" w:eastAsia="en-GB"/>
        </w:rPr>
      </w:pPr>
    </w:p>
    <w:p w14:paraId="34239498" w14:textId="77777777" w:rsidR="005F6900" w:rsidRPr="00E413B4" w:rsidRDefault="005F6900" w:rsidP="005F6900">
      <w:pPr>
        <w:pStyle w:val="NoSpacing"/>
        <w:ind w:firstLine="360"/>
        <w:rPr>
          <w:b/>
          <w:lang w:val="en-GB" w:eastAsia="en-GB"/>
        </w:rPr>
      </w:pPr>
      <w:r w:rsidRPr="00E413B4">
        <w:rPr>
          <w:b/>
          <w:lang w:val="en-GB" w:eastAsia="en-GB"/>
        </w:rPr>
        <w:t>Examples of good practice:</w:t>
      </w:r>
    </w:p>
    <w:p w14:paraId="5408613C" w14:textId="77777777" w:rsidR="005F6900" w:rsidRPr="00E413B4" w:rsidRDefault="005F6900" w:rsidP="005F6900">
      <w:pPr>
        <w:pStyle w:val="NoSpacing"/>
        <w:numPr>
          <w:ilvl w:val="0"/>
          <w:numId w:val="40"/>
        </w:numPr>
        <w:rPr>
          <w:lang w:val="en-GB" w:eastAsia="en-GB"/>
        </w:rPr>
      </w:pPr>
      <w:r w:rsidRPr="00E413B4">
        <w:rPr>
          <w:lang w:val="en-GB" w:eastAsia="en-GB"/>
        </w:rPr>
        <w:t>Providing training for employees.</w:t>
      </w:r>
    </w:p>
    <w:p w14:paraId="608728B7" w14:textId="77777777" w:rsidR="005F6900" w:rsidRPr="00E413B4" w:rsidRDefault="005F6900" w:rsidP="005F6900">
      <w:pPr>
        <w:pStyle w:val="NoSpacing"/>
        <w:numPr>
          <w:ilvl w:val="0"/>
          <w:numId w:val="40"/>
        </w:numPr>
        <w:rPr>
          <w:lang w:val="en-GB" w:eastAsia="en-GB"/>
        </w:rPr>
      </w:pPr>
      <w:r w:rsidRPr="00E413B4">
        <w:rPr>
          <w:lang w:val="en-GB" w:eastAsia="en-GB"/>
        </w:rPr>
        <w:t>Cooperation with local suppliers.</w:t>
      </w:r>
    </w:p>
    <w:p w14:paraId="3BC247C2" w14:textId="6A26AF9D" w:rsidR="79180EEC" w:rsidRPr="00470022" w:rsidRDefault="005F6900" w:rsidP="00470022">
      <w:pPr>
        <w:pStyle w:val="NoSpacing"/>
        <w:numPr>
          <w:ilvl w:val="0"/>
          <w:numId w:val="40"/>
        </w:numPr>
        <w:rPr>
          <w:lang w:val="en-GB" w:eastAsia="en-GB"/>
        </w:rPr>
      </w:pPr>
      <w:r w:rsidRPr="79180EEC">
        <w:rPr>
          <w:lang w:val="en-GB" w:eastAsia="en-GB"/>
        </w:rPr>
        <w:t>Support local communities through donations or volunteer actions.</w:t>
      </w:r>
    </w:p>
    <w:p w14:paraId="4A4340F9" w14:textId="692C058E" w:rsidR="79180EEC" w:rsidRDefault="005F6900" w:rsidP="00470022">
      <w:pPr>
        <w:spacing w:before="100" w:beforeAutospacing="1" w:after="100" w:afterAutospacing="1"/>
        <w:jc w:val="both"/>
        <w:rPr>
          <w:rFonts w:cs="Calibri"/>
          <w:lang w:val="en-GB" w:eastAsia="en-GB"/>
        </w:rPr>
      </w:pPr>
      <w:r w:rsidRPr="79180EEC">
        <w:rPr>
          <w:rFonts w:cs="Calibri"/>
          <w:b/>
          <w:bCs/>
          <w:lang w:val="en-GB" w:eastAsia="en-GB"/>
        </w:rPr>
        <w:t xml:space="preserve">Governance </w:t>
      </w:r>
      <w:r w:rsidR="003632EE" w:rsidRPr="79180EEC">
        <w:rPr>
          <w:rFonts w:cs="Calibri"/>
          <w:b/>
          <w:bCs/>
          <w:lang w:val="en-GB" w:eastAsia="en-GB"/>
        </w:rPr>
        <w:t>c</w:t>
      </w:r>
      <w:r w:rsidRPr="79180EEC">
        <w:rPr>
          <w:rFonts w:cs="Calibri"/>
          <w:b/>
          <w:bCs/>
          <w:lang w:val="en-GB" w:eastAsia="en-GB"/>
        </w:rPr>
        <w:t>riterion</w:t>
      </w:r>
      <w:r w:rsidRPr="79180EEC">
        <w:rPr>
          <w:rFonts w:cs="Calibri"/>
          <w:lang w:val="en-GB" w:eastAsia="en-GB"/>
        </w:rPr>
        <w:t>: Assessment of good corporate governance, transparency and ethical practices. Good project governance is key to the successful implementation of green initiatives. This includes transparency, efficiency in the use of resources and timely reporting on project progress. Projects that provide a clear governance structure and compliance with international standards have a better chance of receiving green financial incentives.</w:t>
      </w:r>
    </w:p>
    <w:p w14:paraId="5B2CF120" w14:textId="1D7B1493" w:rsidR="005F6900" w:rsidRPr="00E413B4" w:rsidRDefault="005F6900" w:rsidP="005F6900">
      <w:pPr>
        <w:pStyle w:val="NoSpacing"/>
        <w:ind w:firstLine="360"/>
        <w:rPr>
          <w:b/>
          <w:lang w:val="en-GB" w:eastAsia="en-GB"/>
        </w:rPr>
      </w:pPr>
      <w:r w:rsidRPr="00E413B4">
        <w:rPr>
          <w:b/>
          <w:lang w:val="en-GB" w:eastAsia="en-GB"/>
        </w:rPr>
        <w:t>Examples of questions for self-evaluation of project management criteria:</w:t>
      </w:r>
    </w:p>
    <w:p w14:paraId="662B33A9" w14:textId="77777777" w:rsidR="005F6900" w:rsidRPr="00E413B4" w:rsidRDefault="005F6900" w:rsidP="005F6900">
      <w:pPr>
        <w:pStyle w:val="NoSpacing"/>
        <w:numPr>
          <w:ilvl w:val="0"/>
          <w:numId w:val="38"/>
        </w:numPr>
        <w:rPr>
          <w:lang w:val="en-GB" w:eastAsia="en-GB"/>
        </w:rPr>
      </w:pPr>
      <w:r w:rsidRPr="00E413B4">
        <w:rPr>
          <w:lang w:val="en-GB" w:eastAsia="en-GB"/>
        </w:rPr>
        <w:t>Do we have adopted transparency and ethics policies?</w:t>
      </w:r>
      <w:r w:rsidRPr="00E413B4">
        <w:rPr>
          <w:lang w:val="en-GB" w:eastAsia="en-GB"/>
        </w:rPr>
        <w:tab/>
      </w:r>
      <w:r w:rsidRPr="00E413B4">
        <w:rPr>
          <w:lang w:val="en-GB" w:eastAsia="en-GB"/>
        </w:rPr>
        <w:tab/>
      </w:r>
    </w:p>
    <w:p w14:paraId="2269CED6" w14:textId="77777777" w:rsidR="005F6900" w:rsidRPr="00E413B4" w:rsidRDefault="005F6900" w:rsidP="005F6900">
      <w:pPr>
        <w:pStyle w:val="NoSpacing"/>
        <w:numPr>
          <w:ilvl w:val="0"/>
          <w:numId w:val="38"/>
        </w:numPr>
        <w:rPr>
          <w:lang w:val="en-GB" w:eastAsia="en-GB"/>
        </w:rPr>
      </w:pPr>
      <w:r w:rsidRPr="00E413B4">
        <w:rPr>
          <w:lang w:val="en-GB" w:eastAsia="en-GB"/>
        </w:rPr>
        <w:t>Does the management structure ensure good control and oversight?</w:t>
      </w:r>
      <w:r w:rsidRPr="00E413B4">
        <w:rPr>
          <w:lang w:val="en-GB" w:eastAsia="en-GB"/>
        </w:rPr>
        <w:tab/>
      </w:r>
      <w:r w:rsidRPr="00E413B4">
        <w:rPr>
          <w:lang w:val="en-GB" w:eastAsia="en-GB"/>
        </w:rPr>
        <w:tab/>
      </w:r>
    </w:p>
    <w:p w14:paraId="754C332A" w14:textId="06F7FC97" w:rsidR="005F6900" w:rsidRPr="00470022" w:rsidRDefault="005F6900" w:rsidP="005F6900">
      <w:pPr>
        <w:pStyle w:val="NoSpacing"/>
        <w:numPr>
          <w:ilvl w:val="0"/>
          <w:numId w:val="38"/>
        </w:numPr>
        <w:rPr>
          <w:lang w:val="en-GB" w:eastAsia="en-GB"/>
        </w:rPr>
      </w:pPr>
      <w:r w:rsidRPr="00E413B4">
        <w:rPr>
          <w:lang w:val="en-GB" w:eastAsia="en-GB"/>
        </w:rPr>
        <w:t>Are there internal mechanisms for risk assessment and decision-making?</w:t>
      </w:r>
    </w:p>
    <w:p w14:paraId="0753D8C2" w14:textId="77777777" w:rsidR="005F6900" w:rsidRPr="00E413B4" w:rsidRDefault="005F6900" w:rsidP="005F6900">
      <w:pPr>
        <w:pStyle w:val="NoSpacing"/>
        <w:ind w:firstLine="360"/>
        <w:rPr>
          <w:b/>
          <w:lang w:val="en-GB"/>
        </w:rPr>
      </w:pPr>
      <w:r w:rsidRPr="00E413B4">
        <w:rPr>
          <w:b/>
          <w:lang w:val="en-GB"/>
        </w:rPr>
        <w:lastRenderedPageBreak/>
        <w:t>Examples of good practice:</w:t>
      </w:r>
    </w:p>
    <w:p w14:paraId="36AF3FC0" w14:textId="77777777" w:rsidR="005F6900" w:rsidRPr="00E413B4" w:rsidRDefault="005F6900" w:rsidP="005F6900">
      <w:pPr>
        <w:pStyle w:val="NoSpacing"/>
        <w:numPr>
          <w:ilvl w:val="0"/>
          <w:numId w:val="41"/>
        </w:numPr>
        <w:rPr>
          <w:lang w:val="en-GB"/>
        </w:rPr>
      </w:pPr>
      <w:r w:rsidRPr="00E413B4">
        <w:rPr>
          <w:lang w:val="en-GB"/>
        </w:rPr>
        <w:t>Regular publication of financial and sustainability reports.</w:t>
      </w:r>
    </w:p>
    <w:p w14:paraId="7C2D8835" w14:textId="77777777" w:rsidR="005F6900" w:rsidRPr="00E413B4" w:rsidRDefault="005F6900" w:rsidP="005F6900">
      <w:pPr>
        <w:pStyle w:val="NoSpacing"/>
        <w:numPr>
          <w:ilvl w:val="0"/>
          <w:numId w:val="41"/>
        </w:numPr>
        <w:rPr>
          <w:lang w:val="en-GB"/>
        </w:rPr>
      </w:pPr>
      <w:r w:rsidRPr="00E413B4">
        <w:rPr>
          <w:lang w:val="en-GB"/>
        </w:rPr>
        <w:t>Established code of ethics.</w:t>
      </w:r>
    </w:p>
    <w:p w14:paraId="79CF42D3" w14:textId="57B52090" w:rsidR="005F6900" w:rsidRPr="00E413B4" w:rsidRDefault="005F6900" w:rsidP="005F6900">
      <w:pPr>
        <w:pStyle w:val="NoSpacing"/>
        <w:numPr>
          <w:ilvl w:val="0"/>
          <w:numId w:val="41"/>
        </w:numPr>
        <w:rPr>
          <w:lang w:val="en-GB" w:eastAsia="en-GB"/>
        </w:rPr>
      </w:pPr>
      <w:r w:rsidRPr="79180EEC">
        <w:rPr>
          <w:lang w:val="en-GB"/>
        </w:rPr>
        <w:t>Introduction of a risk management system</w:t>
      </w:r>
      <w:r w:rsidRPr="79180EEC">
        <w:rPr>
          <w:lang w:val="en-GB" w:eastAsia="en-GB"/>
        </w:rPr>
        <w:t>.</w:t>
      </w:r>
    </w:p>
    <w:p w14:paraId="1F43964F" w14:textId="77777777" w:rsidR="005F6900" w:rsidRPr="00E413B4" w:rsidRDefault="005F6900" w:rsidP="005F6900">
      <w:pPr>
        <w:pStyle w:val="NoSpacing"/>
        <w:rPr>
          <w:b/>
          <w:lang w:val="en-GB" w:eastAsia="en-GB"/>
        </w:rPr>
      </w:pPr>
    </w:p>
    <w:p w14:paraId="7EEA1FB3" w14:textId="77777777" w:rsidR="005F6900" w:rsidRPr="00E413B4" w:rsidRDefault="005F6900" w:rsidP="005F6900">
      <w:pPr>
        <w:pStyle w:val="NoSpacing"/>
        <w:rPr>
          <w:b/>
          <w:i/>
          <w:iCs/>
          <w:lang w:val="en-GB" w:eastAsia="en-GB"/>
        </w:rPr>
      </w:pPr>
      <w:r w:rsidRPr="00E413B4">
        <w:rPr>
          <w:b/>
          <w:i/>
          <w:iCs/>
          <w:lang w:val="en-GB" w:eastAsia="en-GB"/>
        </w:rPr>
        <w:t>Why are ESG criteria important for SMEs?</w:t>
      </w:r>
    </w:p>
    <w:p w14:paraId="76CF0F68" w14:textId="77777777" w:rsidR="005F6900" w:rsidRPr="00E413B4" w:rsidRDefault="005F6900" w:rsidP="005F6900">
      <w:pPr>
        <w:pStyle w:val="NoSpacing"/>
        <w:rPr>
          <w:lang w:val="en-GB" w:eastAsia="en-GB"/>
        </w:rPr>
      </w:pPr>
    </w:p>
    <w:p w14:paraId="008F12E1" w14:textId="77777777" w:rsidR="005F6900" w:rsidRPr="00E413B4" w:rsidRDefault="005F6900" w:rsidP="005F6900">
      <w:pPr>
        <w:pStyle w:val="NoSpacing"/>
        <w:numPr>
          <w:ilvl w:val="0"/>
          <w:numId w:val="42"/>
        </w:numPr>
        <w:jc w:val="both"/>
        <w:rPr>
          <w:lang w:val="en-GB" w:eastAsia="en-GB"/>
        </w:rPr>
      </w:pPr>
      <w:r w:rsidRPr="00E413B4">
        <w:rPr>
          <w:lang w:val="en-GB" w:eastAsia="en-GB"/>
        </w:rPr>
        <w:t>Increasing the chances of obtaining green financing – Funds, banks and donors are increasingly looking for evidence of social and environmental responsibility.</w:t>
      </w:r>
    </w:p>
    <w:p w14:paraId="0BD3EC3A" w14:textId="77777777" w:rsidR="005F6900" w:rsidRPr="00E413B4" w:rsidRDefault="005F6900" w:rsidP="005F6900">
      <w:pPr>
        <w:pStyle w:val="NoSpacing"/>
        <w:numPr>
          <w:ilvl w:val="0"/>
          <w:numId w:val="42"/>
        </w:numPr>
        <w:jc w:val="both"/>
        <w:rPr>
          <w:lang w:val="en-GB" w:eastAsia="en-GB"/>
        </w:rPr>
      </w:pPr>
      <w:r w:rsidRPr="00E413B4">
        <w:rPr>
          <w:lang w:val="en-GB" w:eastAsia="en-GB"/>
        </w:rPr>
        <w:t>Strengthen image and trust – Customers and partners prefer to cooperate with responsible companies.</w:t>
      </w:r>
    </w:p>
    <w:p w14:paraId="5C1A202C" w14:textId="77777777" w:rsidR="005F6900" w:rsidRPr="00E413B4" w:rsidRDefault="005F6900" w:rsidP="005F6900">
      <w:pPr>
        <w:pStyle w:val="NoSpacing"/>
        <w:numPr>
          <w:ilvl w:val="0"/>
          <w:numId w:val="42"/>
        </w:numPr>
        <w:jc w:val="both"/>
        <w:rPr>
          <w:lang w:val="en-GB" w:eastAsia="en-GB"/>
        </w:rPr>
      </w:pPr>
      <w:r w:rsidRPr="00E413B4">
        <w:rPr>
          <w:lang w:val="en-GB" w:eastAsia="en-GB"/>
        </w:rPr>
        <w:t>Reduce costs and risks – Energy efficiency, good management, and satisfied employees directly impact productivity and profitability.</w:t>
      </w:r>
    </w:p>
    <w:p w14:paraId="715118AD" w14:textId="77777777" w:rsidR="005F6900" w:rsidRPr="00E413B4" w:rsidRDefault="005F6900" w:rsidP="005F6900">
      <w:pPr>
        <w:pStyle w:val="NoSpacing"/>
        <w:numPr>
          <w:ilvl w:val="0"/>
          <w:numId w:val="42"/>
        </w:numPr>
        <w:jc w:val="both"/>
        <w:rPr>
          <w:lang w:val="en-GB" w:eastAsia="en-GB"/>
        </w:rPr>
      </w:pPr>
      <w:r w:rsidRPr="00E413B4">
        <w:rPr>
          <w:lang w:val="en-GB" w:eastAsia="en-GB"/>
        </w:rPr>
        <w:t>Prepare a company for the future – ESG practices help companies adapt to increasingly stringent regulations and market demands.</w:t>
      </w:r>
    </w:p>
    <w:p w14:paraId="4F2CA187" w14:textId="119D4392" w:rsidR="005F6900" w:rsidRPr="00E413B4" w:rsidRDefault="005F6900" w:rsidP="005F6900">
      <w:pPr>
        <w:spacing w:before="100" w:beforeAutospacing="1" w:after="100" w:afterAutospacing="1"/>
        <w:outlineLvl w:val="2"/>
        <w:rPr>
          <w:rFonts w:cs="Calibri"/>
          <w:lang w:val="en-GB" w:eastAsia="en-GB"/>
        </w:rPr>
      </w:pPr>
      <w:bookmarkStart w:id="10" w:name="_Toc195167992"/>
      <w:r w:rsidRPr="00E413B4">
        <w:rPr>
          <w:rFonts w:cs="Calibri"/>
          <w:lang w:val="en-GB" w:eastAsia="en-GB"/>
        </w:rPr>
        <w:t xml:space="preserve">3. </w:t>
      </w:r>
      <w:r w:rsidR="0028626A" w:rsidRPr="00E413B4">
        <w:rPr>
          <w:rFonts w:cs="Calibri"/>
          <w:lang w:val="en-GB" w:eastAsia="en-GB"/>
        </w:rPr>
        <w:t>2. EU Taxonomy and Standards of Sustainable Finance</w:t>
      </w:r>
      <w:r w:rsidRPr="00E413B4">
        <w:rPr>
          <w:rStyle w:val="FootnoteReference"/>
          <w:rFonts w:cs="Calibri"/>
          <w:lang w:val="en-GB" w:eastAsia="en-GB"/>
        </w:rPr>
        <w:footnoteReference w:id="5"/>
      </w:r>
      <w:bookmarkEnd w:id="10"/>
    </w:p>
    <w:p w14:paraId="7E3D9B78" w14:textId="4B17DCC8" w:rsidR="005F6900" w:rsidRPr="00E413B4" w:rsidRDefault="005F6900" w:rsidP="35BD0220">
      <w:pPr>
        <w:spacing w:before="100" w:beforeAutospacing="1" w:after="100" w:afterAutospacing="1"/>
        <w:jc w:val="both"/>
        <w:rPr>
          <w:rFonts w:cs="Calibri"/>
          <w:lang w:val="en-GB" w:eastAsia="en-GB"/>
        </w:rPr>
      </w:pPr>
      <w:r w:rsidRPr="79180EEC">
        <w:rPr>
          <w:rFonts w:cs="Calibri"/>
          <w:b/>
          <w:bCs/>
          <w:lang w:val="en-GB" w:eastAsia="en-GB"/>
        </w:rPr>
        <w:t xml:space="preserve">The EU Taxonomy </w:t>
      </w:r>
      <w:r w:rsidRPr="79180EEC">
        <w:rPr>
          <w:rFonts w:cs="Calibri"/>
          <w:lang w:val="en-GB" w:eastAsia="en-GB"/>
        </w:rPr>
        <w:t xml:space="preserve">is a classification system that determines which economic activities can be considered sustainable from an environmental point of view. This taxonomy helps investors, companies and public authorities to distinguish between activities that have a real positive impact on the environment and those that do not. </w:t>
      </w:r>
      <w:r w:rsidR="00D40B70" w:rsidRPr="79180EEC">
        <w:rPr>
          <w:rFonts w:cs="Calibri"/>
          <w:lang w:val="en-GB" w:eastAsia="en-GB"/>
        </w:rPr>
        <w:t>T</w:t>
      </w:r>
      <w:r w:rsidRPr="79180EEC">
        <w:rPr>
          <w:rFonts w:cs="Calibri"/>
          <w:lang w:val="en-GB" w:eastAsia="en-GB"/>
        </w:rPr>
        <w:t xml:space="preserve">he official system of the European Union defines what is considered a sustainable economic activity. In essence, it is a classification framework that clearly states: </w:t>
      </w:r>
      <w:r w:rsidRPr="79180EEC">
        <w:rPr>
          <w:rFonts w:cs="Calibri"/>
          <w:i/>
          <w:iCs/>
          <w:lang w:val="en-GB" w:eastAsia="en-GB"/>
        </w:rPr>
        <w:t xml:space="preserve">Which activity is considered green, under what conditions and why. </w:t>
      </w:r>
      <w:r w:rsidRPr="79180EEC">
        <w:rPr>
          <w:rFonts w:cs="Calibri"/>
          <w:lang w:val="en-GB" w:eastAsia="en-GB"/>
        </w:rPr>
        <w:t>The EU Taxonomy allows for the harmonisation of criteria across Europe</w:t>
      </w:r>
      <w:r w:rsidR="005408AC" w:rsidRPr="79180EEC">
        <w:rPr>
          <w:rFonts w:cs="Calibri"/>
          <w:lang w:val="en-GB" w:eastAsia="en-GB"/>
        </w:rPr>
        <w:t>, and</w:t>
      </w:r>
      <w:r w:rsidRPr="79180EEC">
        <w:rPr>
          <w:rFonts w:cs="Calibri"/>
          <w:lang w:val="en-GB" w:eastAsia="en-GB"/>
        </w:rPr>
        <w:t xml:space="preserve"> </w:t>
      </w:r>
      <w:r w:rsidR="005408AC" w:rsidRPr="79180EEC">
        <w:rPr>
          <w:rFonts w:cs="Calibri"/>
          <w:lang w:val="en-GB" w:eastAsia="en-GB"/>
        </w:rPr>
        <w:t xml:space="preserve">what </w:t>
      </w:r>
      <w:r w:rsidRPr="79180EEC">
        <w:rPr>
          <w:rFonts w:cs="Calibri"/>
          <w:lang w:val="en-GB" w:eastAsia="en-GB"/>
        </w:rPr>
        <w:t>really means in business.</w:t>
      </w:r>
    </w:p>
    <w:p w14:paraId="62CD7EB5" w14:textId="2F8A3F04"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Although originally designed for large companies and financial institutions, the EU Taxonomy is becoming increasingly relevant for SMEs because: banks and funds use these rules to assess whether to finance SMEs; SMEs in the supply chain of larger companies need to demonstrate compliance; the use of green funds and public incentives often depends on compliance with these standards. To be considered green, an activity must significantly contribute to at least one of these environmental objectives and must not cause significant harm to the others:</w:t>
      </w:r>
    </w:p>
    <w:p w14:paraId="0082D939"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Climate change mitigation</w:t>
      </w:r>
    </w:p>
    <w:p w14:paraId="36D40FA9"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Climate change adaptation</w:t>
      </w:r>
    </w:p>
    <w:p w14:paraId="0069A9D4"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Sustainable use and protection of water and marine resources</w:t>
      </w:r>
    </w:p>
    <w:p w14:paraId="70A4EA60"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Transition to a circular economy</w:t>
      </w:r>
    </w:p>
    <w:p w14:paraId="01C06635"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Pollution prevention and control of harmful gas emissions</w:t>
      </w:r>
    </w:p>
    <w:p w14:paraId="4D1DAE62" w14:textId="77777777" w:rsidR="005F6900" w:rsidRPr="00E413B4" w:rsidRDefault="005F6900" w:rsidP="0028626A">
      <w:pPr>
        <w:numPr>
          <w:ilvl w:val="0"/>
          <w:numId w:val="45"/>
        </w:numPr>
        <w:spacing w:before="100" w:beforeAutospacing="1" w:after="100" w:afterAutospacing="1"/>
        <w:rPr>
          <w:rFonts w:cs="Calibri"/>
          <w:lang w:val="en-GB" w:eastAsia="en-GB"/>
        </w:rPr>
      </w:pPr>
      <w:r w:rsidRPr="00E413B4">
        <w:rPr>
          <w:rFonts w:cs="Calibri"/>
          <w:bCs/>
          <w:lang w:val="en-GB" w:eastAsia="en-GB"/>
        </w:rPr>
        <w:t>Protection and restoration of biodiversity and ecosystems</w:t>
      </w:r>
    </w:p>
    <w:p w14:paraId="06B7C91D" w14:textId="3D8410D8" w:rsidR="005F6900" w:rsidRPr="00E413B4" w:rsidRDefault="005F6900" w:rsidP="79180EEC">
      <w:pPr>
        <w:spacing w:before="100" w:beforeAutospacing="1" w:after="100" w:afterAutospacing="1"/>
        <w:rPr>
          <w:rFonts w:cs="Calibri"/>
          <w:lang w:val="en-GB" w:eastAsia="en-GB"/>
        </w:rPr>
      </w:pPr>
      <w:r w:rsidRPr="79180EEC">
        <w:rPr>
          <w:rFonts w:cs="Calibri"/>
          <w:lang w:val="en-GB" w:eastAsia="en-GB"/>
        </w:rPr>
        <w:t xml:space="preserve">For an activity to be </w:t>
      </w:r>
      <w:r w:rsidR="00C52D69" w:rsidRPr="79180EEC">
        <w:rPr>
          <w:rFonts w:cs="Calibri"/>
          <w:lang w:val="en-GB" w:eastAsia="en-GB"/>
        </w:rPr>
        <w:t>labelled</w:t>
      </w:r>
      <w:r w:rsidRPr="79180EEC">
        <w:rPr>
          <w:rFonts w:cs="Calibri"/>
          <w:lang w:val="en-GB" w:eastAsia="en-GB"/>
        </w:rPr>
        <w:t xml:space="preserve"> as </w:t>
      </w:r>
      <w:r w:rsidRPr="79180EEC">
        <w:rPr>
          <w:rFonts w:cs="Calibri"/>
          <w:b/>
          <w:bCs/>
          <w:lang w:val="en-GB" w:eastAsia="en-GB"/>
        </w:rPr>
        <w:t>sustainable according to the Taxonomy</w:t>
      </w:r>
      <w:r w:rsidRPr="79180EEC">
        <w:rPr>
          <w:rFonts w:cs="Calibri"/>
          <w:lang w:val="en-GB" w:eastAsia="en-GB"/>
        </w:rPr>
        <w:t>, it must meet three conditions:</w:t>
      </w:r>
    </w:p>
    <w:p w14:paraId="53AB0A0B" w14:textId="77777777" w:rsidR="005F6900" w:rsidRPr="00E413B4" w:rsidRDefault="005F6900" w:rsidP="005F6900">
      <w:pPr>
        <w:numPr>
          <w:ilvl w:val="0"/>
          <w:numId w:val="44"/>
        </w:numPr>
        <w:spacing w:before="100" w:beforeAutospacing="1" w:after="100" w:afterAutospacing="1"/>
        <w:rPr>
          <w:rFonts w:cs="Calibri"/>
          <w:lang w:val="en-GB" w:eastAsia="en-GB"/>
        </w:rPr>
      </w:pPr>
      <w:r w:rsidRPr="00E413B4">
        <w:rPr>
          <w:rFonts w:cs="Calibri"/>
          <w:bCs/>
          <w:lang w:val="en-GB" w:eastAsia="en-GB"/>
        </w:rPr>
        <w:t xml:space="preserve">Significantly contributes to </w:t>
      </w:r>
      <w:r w:rsidRPr="00E413B4">
        <w:rPr>
          <w:rFonts w:cs="Calibri"/>
          <w:lang w:val="en-GB" w:eastAsia="en-GB"/>
        </w:rPr>
        <w:t>at least one of these goals,</w:t>
      </w:r>
    </w:p>
    <w:p w14:paraId="63AD1DCA" w14:textId="24076BD2" w:rsidR="005F6900" w:rsidRPr="00E413B4" w:rsidRDefault="005F6900" w:rsidP="35BD0220">
      <w:pPr>
        <w:numPr>
          <w:ilvl w:val="0"/>
          <w:numId w:val="44"/>
        </w:numPr>
        <w:spacing w:before="100" w:beforeAutospacing="1" w:after="100" w:afterAutospacing="1"/>
        <w:rPr>
          <w:rFonts w:cs="Calibri"/>
          <w:lang w:val="en-GB" w:eastAsia="en-GB"/>
        </w:rPr>
      </w:pPr>
      <w:r w:rsidRPr="79180EEC">
        <w:rPr>
          <w:rFonts w:cs="Calibri"/>
          <w:lang w:val="en-GB" w:eastAsia="en-GB"/>
        </w:rPr>
        <w:t>Does not harm other goals,</w:t>
      </w:r>
    </w:p>
    <w:p w14:paraId="221314C4" w14:textId="37599422" w:rsidR="79180EEC" w:rsidRPr="00470022" w:rsidRDefault="005F6900" w:rsidP="00470022">
      <w:pPr>
        <w:numPr>
          <w:ilvl w:val="0"/>
          <w:numId w:val="44"/>
        </w:numPr>
        <w:spacing w:before="100" w:beforeAutospacing="1" w:after="100" w:afterAutospacing="1"/>
        <w:rPr>
          <w:rFonts w:cs="Calibri"/>
          <w:lang w:val="en-GB" w:eastAsia="en-GB"/>
        </w:rPr>
      </w:pPr>
      <w:r w:rsidRPr="79180EEC">
        <w:rPr>
          <w:rFonts w:cs="Calibri"/>
          <w:lang w:val="en-GB" w:eastAsia="en-GB"/>
        </w:rPr>
        <w:lastRenderedPageBreak/>
        <w:t xml:space="preserve">Meets minimum social and governance standards (e.g. respect for </w:t>
      </w:r>
      <w:r w:rsidR="00C52D69" w:rsidRPr="79180EEC">
        <w:rPr>
          <w:rFonts w:cs="Calibri"/>
          <w:lang w:val="en-GB" w:eastAsia="en-GB"/>
        </w:rPr>
        <w:t>labour</w:t>
      </w:r>
      <w:r w:rsidRPr="79180EEC">
        <w:rPr>
          <w:rFonts w:cs="Calibri"/>
          <w:lang w:val="en-GB" w:eastAsia="en-GB"/>
        </w:rPr>
        <w:t xml:space="preserve"> rights, transparency).</w:t>
      </w:r>
    </w:p>
    <w:p w14:paraId="148EC5CE" w14:textId="77777777" w:rsidR="005F6900" w:rsidRPr="00E413B4" w:rsidRDefault="005F6900" w:rsidP="005F6900">
      <w:pPr>
        <w:rPr>
          <w:rFonts w:cs="Calibri"/>
          <w:b/>
          <w:i/>
          <w:iCs/>
          <w:lang w:val="en-GB" w:eastAsia="en-GB"/>
        </w:rPr>
      </w:pPr>
      <w:r w:rsidRPr="00E413B4">
        <w:rPr>
          <w:rFonts w:cs="Calibri"/>
          <w:b/>
          <w:i/>
          <w:iCs/>
          <w:lang w:val="en-GB" w:eastAsia="en-GB"/>
        </w:rPr>
        <w:t>Example of applications of the EU Taxonomy in practice:</w:t>
      </w:r>
    </w:p>
    <w:p w14:paraId="444729D5" w14:textId="77777777" w:rsidR="005F6900" w:rsidRPr="00E413B4" w:rsidRDefault="005F6900" w:rsidP="005F6900">
      <w:pPr>
        <w:rPr>
          <w:rFonts w:cs="Calibri"/>
          <w:lang w:val="en-GB" w:eastAsia="en-GB"/>
        </w:rPr>
      </w:pPr>
    </w:p>
    <w:p w14:paraId="791C9A7B" w14:textId="0D026805" w:rsidR="005F6900" w:rsidRPr="00E413B4" w:rsidRDefault="005F6900" w:rsidP="005F6900">
      <w:pPr>
        <w:rPr>
          <w:rFonts w:cs="Calibri"/>
          <w:lang w:val="en-GB" w:eastAsia="en-GB"/>
        </w:rPr>
      </w:pPr>
      <w:r w:rsidRPr="79180EEC">
        <w:rPr>
          <w:rFonts w:cs="Calibri"/>
          <w:b/>
          <w:bCs/>
          <w:lang w:val="en-GB" w:eastAsia="en-GB"/>
        </w:rPr>
        <w:t>Example 1</w:t>
      </w:r>
      <w:r w:rsidRPr="79180EEC">
        <w:rPr>
          <w:rFonts w:cs="Calibri"/>
          <w:lang w:val="en-GB" w:eastAsia="en-GB"/>
        </w:rPr>
        <w:t>: If an SME installs solar panels in its production – this can be an activity aligned with the goal of mitigating climate change, if technical criteria are met (e.g. certain energy efficiency, sustainable materials).</w:t>
      </w:r>
    </w:p>
    <w:p w14:paraId="595F532C" w14:textId="02574E9B" w:rsidR="005F6900" w:rsidRPr="00E413B4" w:rsidRDefault="005F6900" w:rsidP="005F6900">
      <w:pPr>
        <w:rPr>
          <w:rFonts w:cs="Calibri"/>
          <w:lang w:val="en-GB" w:eastAsia="en-GB"/>
        </w:rPr>
      </w:pPr>
      <w:r w:rsidRPr="79180EEC">
        <w:rPr>
          <w:rFonts w:cs="Calibri"/>
          <w:b/>
          <w:bCs/>
          <w:lang w:val="en-GB" w:eastAsia="en-GB"/>
        </w:rPr>
        <w:t>Example 2</w:t>
      </w:r>
      <w:r w:rsidRPr="79180EEC">
        <w:rPr>
          <w:rFonts w:cs="Calibri"/>
          <w:lang w:val="en-GB" w:eastAsia="en-GB"/>
        </w:rPr>
        <w:t>: If an SME switches to eco-friendly packaging and reduces waste – this is in line with the goal of transitioning to a circular economy.</w:t>
      </w:r>
    </w:p>
    <w:p w14:paraId="3906ADCE" w14:textId="37E1B399" w:rsidR="005F6900" w:rsidRPr="00E413B4" w:rsidRDefault="005F6900" w:rsidP="005F6900">
      <w:pPr>
        <w:pStyle w:val="NoSpacing"/>
        <w:rPr>
          <w:lang w:val="en-GB" w:eastAsia="en-GB"/>
        </w:rPr>
      </w:pPr>
      <w:r w:rsidRPr="79180EEC">
        <w:rPr>
          <w:b/>
          <w:bCs/>
          <w:lang w:val="en-GB" w:eastAsia="en-GB"/>
        </w:rPr>
        <w:t>Example 3</w:t>
      </w:r>
      <w:r w:rsidRPr="79180EEC">
        <w:rPr>
          <w:lang w:val="en-GB" w:eastAsia="en-GB"/>
        </w:rPr>
        <w:t>: If an SME switches to using environmentally friendly materials and introduces green processes, this is in line with the goal of reducing water consumption, without toxic chemicals.</w:t>
      </w:r>
    </w:p>
    <w:p w14:paraId="5046841D" w14:textId="0D485DAE" w:rsidR="005F6900" w:rsidRPr="00E413B4" w:rsidRDefault="005F6900" w:rsidP="005F6900">
      <w:pPr>
        <w:pStyle w:val="NoSpacing"/>
        <w:rPr>
          <w:lang w:val="en-GB" w:eastAsia="en-GB"/>
        </w:rPr>
      </w:pPr>
      <w:r w:rsidRPr="79180EEC">
        <w:rPr>
          <w:b/>
          <w:bCs/>
          <w:lang w:val="en-GB" w:eastAsia="en-GB"/>
        </w:rPr>
        <w:t>Example 4</w:t>
      </w:r>
      <w:r w:rsidRPr="79180EEC">
        <w:rPr>
          <w:lang w:val="en-GB" w:eastAsia="en-GB"/>
        </w:rPr>
        <w:t>: If an SME is replacing its fleet and intends to use eco-vehicles or electric vehicles, this directly contributes to reducing gas emissions, improving logistics, i.e. preventing pollution.</w:t>
      </w:r>
      <w:r w:rsidRPr="79180EEC">
        <w:rPr>
          <w:rFonts w:ascii="Times New Roman" w:hAnsi="Times New Roman" w:cs="Times New Roman"/>
          <w:sz w:val="24"/>
          <w:szCs w:val="24"/>
          <w:lang w:val="en-GB" w:eastAsia="en-GB"/>
        </w:rPr>
        <w:t xml:space="preserve"> </w:t>
      </w:r>
    </w:p>
    <w:p w14:paraId="3C4722EE" w14:textId="71E09EBB" w:rsidR="005F6900" w:rsidRPr="00E413B4" w:rsidRDefault="005F6900" w:rsidP="005F6900">
      <w:pPr>
        <w:spacing w:before="100" w:beforeAutospacing="1" w:after="100" w:afterAutospacing="1"/>
        <w:outlineLvl w:val="2"/>
        <w:rPr>
          <w:rFonts w:cs="Calibri"/>
          <w:lang w:val="en-GB" w:eastAsia="en-GB"/>
        </w:rPr>
      </w:pPr>
      <w:bookmarkStart w:id="12" w:name="_Toc195167993"/>
      <w:r w:rsidRPr="00E413B4">
        <w:rPr>
          <w:rFonts w:cs="Calibri"/>
          <w:lang w:val="en-GB" w:eastAsia="en-GB"/>
        </w:rPr>
        <w:t xml:space="preserve">3. </w:t>
      </w:r>
      <w:r w:rsidR="0028626A" w:rsidRPr="00E413B4">
        <w:rPr>
          <w:rFonts w:cs="Calibri"/>
          <w:lang w:val="en-GB" w:eastAsia="en-GB"/>
        </w:rPr>
        <w:t>3. Examples of funded projects</w:t>
      </w:r>
      <w:bookmarkEnd w:id="12"/>
      <w:r w:rsidRPr="00E413B4">
        <w:rPr>
          <w:rFonts w:cs="Calibri"/>
          <w:lang w:val="en-GB" w:eastAsia="en-GB"/>
        </w:rPr>
        <w:t xml:space="preserve">  </w:t>
      </w:r>
    </w:p>
    <w:p w14:paraId="1013C880" w14:textId="77777777" w:rsidR="005F6900" w:rsidRPr="00E413B4" w:rsidRDefault="005F6900" w:rsidP="0028626A">
      <w:pPr>
        <w:spacing w:before="100" w:beforeAutospacing="1" w:after="100" w:afterAutospacing="1"/>
        <w:jc w:val="both"/>
        <w:rPr>
          <w:rFonts w:cs="Calibri"/>
          <w:lang w:val="en-GB" w:eastAsia="en-GB"/>
        </w:rPr>
      </w:pPr>
      <w:r w:rsidRPr="00E413B4">
        <w:rPr>
          <w:rFonts w:cs="Calibri"/>
          <w:lang w:val="en-GB" w:eastAsia="en-GB"/>
        </w:rPr>
        <w:t>Green financial mechanisms can support a wide range of activities, but only those projects that have a clear positive impact on the environment and society can be eligible for green financing. Some of the types of projects that can be financed include:</w:t>
      </w:r>
    </w:p>
    <w:p w14:paraId="61FF8747" w14:textId="4FAA4E5A" w:rsidR="005F6900" w:rsidRPr="00E413B4"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Renewable energy projects</w:t>
      </w:r>
      <w:r w:rsidRPr="79180EEC">
        <w:rPr>
          <w:rFonts w:cs="Calibri"/>
          <w:lang w:val="en-GB" w:eastAsia="en-GB"/>
        </w:rPr>
        <w:t>: Investments in solar and wind power plants, geothermal and hydroelectric power plants.</w:t>
      </w:r>
    </w:p>
    <w:p w14:paraId="22F59226" w14:textId="4EB4E060" w:rsidR="005F6900" w:rsidRPr="00E413B4"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Energy efficiency projects</w:t>
      </w:r>
      <w:r w:rsidRPr="79180EEC">
        <w:rPr>
          <w:rFonts w:cs="Calibri"/>
          <w:lang w:val="en-GB" w:eastAsia="en-GB"/>
        </w:rPr>
        <w:t>: Improving energy efficiency in industry, the transport sector and buildings.</w:t>
      </w:r>
    </w:p>
    <w:p w14:paraId="41F49019" w14:textId="3089DECD" w:rsidR="005F6900" w:rsidRPr="00E413B4"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Circular economy projects</w:t>
      </w:r>
      <w:r w:rsidRPr="79180EEC">
        <w:rPr>
          <w:rFonts w:cs="Calibri"/>
          <w:lang w:val="en-GB" w:eastAsia="en-GB"/>
        </w:rPr>
        <w:t>: Initiatives that promote material reuse, recycling, and waste reduction.</w:t>
      </w:r>
    </w:p>
    <w:p w14:paraId="5E48F62F" w14:textId="2FBB8D78" w:rsidR="005F6900" w:rsidRPr="00E413B4"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 xml:space="preserve">Pollution </w:t>
      </w:r>
      <w:r w:rsidR="00DC0246" w:rsidRPr="79180EEC">
        <w:rPr>
          <w:rFonts w:cs="Calibri"/>
          <w:b/>
          <w:bCs/>
          <w:lang w:val="en-GB" w:eastAsia="en-GB"/>
        </w:rPr>
        <w:t>r</w:t>
      </w:r>
      <w:r w:rsidRPr="79180EEC">
        <w:rPr>
          <w:rFonts w:cs="Calibri"/>
          <w:b/>
          <w:bCs/>
          <w:lang w:val="en-GB" w:eastAsia="en-GB"/>
        </w:rPr>
        <w:t>eduction</w:t>
      </w:r>
      <w:r w:rsidRPr="79180EEC">
        <w:rPr>
          <w:rFonts w:cs="Calibri"/>
          <w:lang w:val="en-GB" w:eastAsia="en-GB"/>
        </w:rPr>
        <w:t>: Projects that reduce carbon dioxide emissions, harmful gases, or water pollution.</w:t>
      </w:r>
    </w:p>
    <w:p w14:paraId="30194084" w14:textId="65207D22" w:rsidR="005F6900" w:rsidRPr="00E413B4"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Sustainable transport</w:t>
      </w:r>
      <w:r w:rsidRPr="79180EEC">
        <w:rPr>
          <w:rFonts w:cs="Calibri"/>
          <w:lang w:val="en-GB" w:eastAsia="en-GB"/>
        </w:rPr>
        <w:t>: Development of infrastructure for electric vehicles, improvement of public transport and promotion of environmentally friendly forms of transport.</w:t>
      </w:r>
    </w:p>
    <w:p w14:paraId="2D0B1D83" w14:textId="5D570F4A" w:rsidR="79180EEC" w:rsidRPr="00470022" w:rsidRDefault="005F6900" w:rsidP="79180EEC">
      <w:pPr>
        <w:numPr>
          <w:ilvl w:val="0"/>
          <w:numId w:val="35"/>
        </w:numPr>
        <w:spacing w:before="100" w:beforeAutospacing="1" w:after="100" w:afterAutospacing="1"/>
        <w:jc w:val="both"/>
        <w:rPr>
          <w:rFonts w:cs="Calibri"/>
          <w:lang w:val="en-GB" w:eastAsia="en-GB"/>
        </w:rPr>
      </w:pPr>
      <w:r w:rsidRPr="79180EEC">
        <w:rPr>
          <w:rFonts w:cs="Calibri"/>
          <w:b/>
          <w:bCs/>
          <w:lang w:val="en-GB" w:eastAsia="en-GB"/>
        </w:rPr>
        <w:t xml:space="preserve">Biodiversity and </w:t>
      </w:r>
      <w:r w:rsidR="00DC0246" w:rsidRPr="79180EEC">
        <w:rPr>
          <w:rFonts w:cs="Calibri"/>
          <w:b/>
          <w:bCs/>
          <w:lang w:val="en-GB" w:eastAsia="en-GB"/>
        </w:rPr>
        <w:t>natural resources protection</w:t>
      </w:r>
      <w:r w:rsidRPr="79180EEC">
        <w:rPr>
          <w:rFonts w:cs="Calibri"/>
          <w:lang w:val="en-GB" w:eastAsia="en-GB"/>
        </w:rPr>
        <w:t>: Projects that focus on nature conservation, such as protected areas, ecosystem restoration, or land remediation.</w:t>
      </w:r>
    </w:p>
    <w:p w14:paraId="75D99C19" w14:textId="77777777" w:rsidR="005F6900" w:rsidRPr="00E413B4" w:rsidRDefault="005F6900" w:rsidP="005F6900">
      <w:pPr>
        <w:spacing w:before="100" w:beforeAutospacing="1" w:after="100" w:afterAutospacing="1"/>
        <w:rPr>
          <w:rFonts w:cs="Calibri"/>
          <w:lang w:val="en-GB" w:eastAsia="en-GB"/>
        </w:rPr>
      </w:pPr>
      <w:r w:rsidRPr="00E413B4">
        <w:rPr>
          <w:rFonts w:cs="Calibri"/>
          <w:lang w:val="en-GB" w:eastAsia="en-GB"/>
        </w:rPr>
        <w:t>Projects considered sustainable must comply with green standards, such as those in the EU taxonomy, and be able to demonstrate concrete environmental and social benefits.</w:t>
      </w:r>
    </w:p>
    <w:p w14:paraId="384653AF" w14:textId="77777777" w:rsidR="005F6900" w:rsidRPr="00E413B4" w:rsidRDefault="005F6900" w:rsidP="005F6900">
      <w:pPr>
        <w:pStyle w:val="Heading1"/>
        <w:spacing w:before="0" w:after="0"/>
        <w:rPr>
          <w:rFonts w:asciiTheme="minorHAnsi" w:hAnsiTheme="minorHAnsi" w:cstheme="minorHAnsi"/>
          <w:b/>
          <w:color w:val="auto"/>
          <w:sz w:val="22"/>
          <w:szCs w:val="22"/>
          <w:lang w:val="en-GB"/>
        </w:rPr>
      </w:pPr>
      <w:bookmarkStart w:id="13" w:name="_Toc195167994"/>
      <w:r w:rsidRPr="00E413B4">
        <w:rPr>
          <w:rFonts w:asciiTheme="minorHAnsi" w:hAnsiTheme="minorHAnsi" w:cstheme="minorHAnsi"/>
          <w:b/>
          <w:color w:val="auto"/>
          <w:sz w:val="22"/>
          <w:szCs w:val="22"/>
          <w:lang w:val="en-GB"/>
        </w:rPr>
        <w:t>4. Overview of available green financial instruments in Serbia</w:t>
      </w:r>
      <w:bookmarkEnd w:id="13"/>
      <w:r w:rsidRPr="00E413B4">
        <w:rPr>
          <w:rFonts w:asciiTheme="minorHAnsi" w:hAnsiTheme="minorHAnsi" w:cstheme="minorHAnsi"/>
          <w:b/>
          <w:color w:val="auto"/>
          <w:sz w:val="22"/>
          <w:szCs w:val="22"/>
          <w:lang w:val="en-GB"/>
        </w:rPr>
        <w:t xml:space="preserve"> </w:t>
      </w:r>
    </w:p>
    <w:p w14:paraId="7D0529ED" w14:textId="787E099B"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 xml:space="preserve">Green financial instruments are key mechanisms for supporting investments and projects that have a positive impact on the environment. These instruments include various forms of financing, such as green bonds, loans, subsidies and other specialized funds, which enable companies to implement their sustainable development projects. The application of these instruments provides companies with better access to capital for green investments, which are aimed at increasing energy efficiency, using renewable energy sources, </w:t>
      </w:r>
      <w:r w:rsidR="00267B2E" w:rsidRPr="79180EEC">
        <w:rPr>
          <w:rFonts w:cs="Calibri"/>
          <w:lang w:val="en-GB" w:eastAsia="en-GB"/>
        </w:rPr>
        <w:t>optimising</w:t>
      </w:r>
      <w:r w:rsidRPr="79180EEC">
        <w:rPr>
          <w:rFonts w:cs="Calibri"/>
          <w:lang w:val="en-GB" w:eastAsia="en-GB"/>
        </w:rPr>
        <w:t xml:space="preserve"> the use of natural resources, digitizing operations and promoting the circular economy.</w:t>
      </w:r>
    </w:p>
    <w:p w14:paraId="4A2662A2" w14:textId="6B582FCC" w:rsidR="005F6900" w:rsidRPr="00E413B4" w:rsidRDefault="005F6900" w:rsidP="79180EEC">
      <w:pPr>
        <w:spacing w:before="100" w:beforeAutospacing="1" w:after="100" w:afterAutospacing="1"/>
        <w:jc w:val="both"/>
        <w:rPr>
          <w:rFonts w:cs="Calibri"/>
          <w:lang w:val="en-GB" w:eastAsia="en-GB"/>
        </w:rPr>
      </w:pPr>
      <w:r w:rsidRPr="79180EEC">
        <w:rPr>
          <w:rFonts w:cs="Calibri"/>
          <w:lang w:val="en-GB" w:eastAsia="en-GB"/>
        </w:rPr>
        <w:t>In Serbia and North Macedonia, SMEs are increasingly recognizing the potential of green investments, which are primarily focused on the moderni</w:t>
      </w:r>
      <w:r w:rsidR="00F50E7D" w:rsidRPr="79180EEC">
        <w:rPr>
          <w:rFonts w:cs="Calibri"/>
          <w:lang w:val="en-GB" w:eastAsia="en-GB"/>
        </w:rPr>
        <w:t>s</w:t>
      </w:r>
      <w:r w:rsidRPr="79180EEC">
        <w:rPr>
          <w:rFonts w:cs="Calibri"/>
          <w:lang w:val="en-GB" w:eastAsia="en-GB"/>
        </w:rPr>
        <w:t>ation of equipment and technologies with the aim of reducing energy and resource consumption. In addition, a significant part of green investments includes the installation of solar panels for internal use or sale of electricity, as well as the improvement of waste management systems. Although many companies rely on their own funds to finance these projects, they are increasingly using external sources of financing, including subsidies, loans and other incentive mechanisms.</w:t>
      </w:r>
    </w:p>
    <w:p w14:paraId="0CF13B84" w14:textId="710C45AF" w:rsidR="79180EEC" w:rsidRDefault="79180EEC" w:rsidP="79180EEC">
      <w:pPr>
        <w:spacing w:beforeAutospacing="1" w:afterAutospacing="1"/>
        <w:jc w:val="both"/>
        <w:rPr>
          <w:rFonts w:cs="Calibri"/>
          <w:lang w:val="en-GB" w:eastAsia="en-GB"/>
        </w:rPr>
      </w:pPr>
    </w:p>
    <w:p w14:paraId="3DA2AC4E" w14:textId="77777777" w:rsidR="005F6900" w:rsidRPr="00E413B4" w:rsidRDefault="005F6900" w:rsidP="005F6900">
      <w:pPr>
        <w:spacing w:before="100" w:beforeAutospacing="1" w:after="100" w:afterAutospacing="1"/>
        <w:jc w:val="both"/>
        <w:rPr>
          <w:rFonts w:cs="Calibri"/>
          <w:lang w:val="en-GB" w:eastAsia="en-GB"/>
        </w:rPr>
      </w:pPr>
      <w:r w:rsidRPr="00E413B4">
        <w:rPr>
          <w:rFonts w:cs="Calibri"/>
          <w:lang w:val="en-GB" w:eastAsia="en-GB"/>
        </w:rPr>
        <w:lastRenderedPageBreak/>
        <w:t>Self-financing is most often appropriate for projects that do not require large investments or for those with a short payback period. However, for larger projects and long-term initiatives, SMEs opt for external sources of financing, such as loans from international financial institutions, commercial banks, leasing arrangements, public-private partnerships and subsidies. Among these instruments, green subsidies and soft loans play a key role in supporting SMEs in the process of greening their businesses.</w:t>
      </w:r>
    </w:p>
    <w:p w14:paraId="3E64EB71" w14:textId="6FF283F0" w:rsidR="79180EEC" w:rsidRDefault="005F6900" w:rsidP="00470022">
      <w:pPr>
        <w:spacing w:before="100" w:beforeAutospacing="1" w:after="100" w:afterAutospacing="1"/>
        <w:jc w:val="both"/>
        <w:rPr>
          <w:rFonts w:cs="Calibri"/>
          <w:lang w:val="en-GB" w:eastAsia="en-GB"/>
        </w:rPr>
      </w:pPr>
      <w:r w:rsidRPr="79180EEC">
        <w:rPr>
          <w:rFonts w:cs="Calibri"/>
          <w:lang w:val="en-GB" w:eastAsia="en-GB"/>
        </w:rPr>
        <w:t xml:space="preserve">The subsidies, provided by states or non-profit </w:t>
      </w:r>
      <w:r w:rsidR="003455E2" w:rsidRPr="79180EEC">
        <w:rPr>
          <w:rFonts w:cs="Calibri"/>
          <w:lang w:val="en-GB" w:eastAsia="en-GB"/>
        </w:rPr>
        <w:t>organisations</w:t>
      </w:r>
      <w:r w:rsidRPr="79180EEC">
        <w:rPr>
          <w:rFonts w:cs="Calibri"/>
          <w:lang w:val="en-GB" w:eastAsia="en-GB"/>
        </w:rPr>
        <w:t xml:space="preserve">, do not have to be repaid and are intended to encourage environmental projects, including renewable energy sources, energy efficiency, sustainable waste management and the development of a circular economy. The </w:t>
      </w:r>
      <w:r w:rsidR="00013D66" w:rsidRPr="79180EEC">
        <w:rPr>
          <w:rFonts w:cs="Calibri"/>
          <w:lang w:val="en-GB" w:eastAsia="en-GB"/>
        </w:rPr>
        <w:t>favourable</w:t>
      </w:r>
      <w:r w:rsidRPr="79180EEC">
        <w:rPr>
          <w:rFonts w:cs="Calibri"/>
          <w:lang w:val="en-GB" w:eastAsia="en-GB"/>
        </w:rPr>
        <w:t xml:space="preserve"> loans offered to SMEs include interest rates below 3%, repayment periods of up to 10 years and a grace period of at least one year, with flexible collateral and guarantee requirements.</w:t>
      </w:r>
    </w:p>
    <w:p w14:paraId="35E1E124" w14:textId="45BC8A45" w:rsidR="79180EEC" w:rsidRDefault="005F6900" w:rsidP="00470022">
      <w:pPr>
        <w:spacing w:before="100" w:beforeAutospacing="1" w:after="100" w:afterAutospacing="1"/>
        <w:jc w:val="both"/>
        <w:rPr>
          <w:rFonts w:cs="Calibri"/>
          <w:lang w:val="en-GB" w:eastAsia="en-GB"/>
        </w:rPr>
      </w:pPr>
      <w:r w:rsidRPr="79180EEC">
        <w:rPr>
          <w:rFonts w:cs="Calibri"/>
          <w:lang w:val="en-GB" w:eastAsia="en-GB"/>
        </w:rPr>
        <w:t>International financial institutions also provide direct financing or through commercial banks for projects that reduce energy consumption, CO</w:t>
      </w:r>
      <w:r w:rsidR="00907376" w:rsidRPr="79180EEC">
        <w:rPr>
          <w:rFonts w:cs="Calibri"/>
          <w:lang w:val="en-GB" w:eastAsia="en-GB"/>
        </w:rPr>
        <w:t>₂</w:t>
      </w:r>
      <w:r w:rsidRPr="79180EEC">
        <w:rPr>
          <w:rFonts w:cs="Calibri"/>
          <w:lang w:val="en-GB" w:eastAsia="en-GB"/>
        </w:rPr>
        <w:t xml:space="preserve"> emissions and contribute to the moderni</w:t>
      </w:r>
      <w:r w:rsidR="00F50E7D" w:rsidRPr="79180EEC">
        <w:rPr>
          <w:rFonts w:cs="Calibri"/>
          <w:lang w:val="en-GB" w:eastAsia="en-GB"/>
        </w:rPr>
        <w:t>s</w:t>
      </w:r>
      <w:r w:rsidRPr="79180EEC">
        <w:rPr>
          <w:rFonts w:cs="Calibri"/>
          <w:lang w:val="en-GB" w:eastAsia="en-GB"/>
        </w:rPr>
        <w:t>ation of production capacities. These investments not only help SMEs reduce operating costs, but also increase their competitiveness, improve product quality and facilitate access to foreign markets.</w:t>
      </w:r>
    </w:p>
    <w:p w14:paraId="35B2C006" w14:textId="6D114B1C" w:rsidR="79180EEC" w:rsidRDefault="005F6900" w:rsidP="00470022">
      <w:pPr>
        <w:spacing w:before="100" w:beforeAutospacing="1" w:after="100" w:afterAutospacing="1"/>
        <w:jc w:val="both"/>
        <w:rPr>
          <w:rFonts w:cs="Calibri"/>
          <w:lang w:val="en-GB" w:eastAsia="en-GB"/>
        </w:rPr>
      </w:pPr>
      <w:r w:rsidRPr="79180EEC">
        <w:rPr>
          <w:rFonts w:cs="Calibri"/>
          <w:lang w:val="en-GB" w:eastAsia="en-GB"/>
        </w:rPr>
        <w:t xml:space="preserve">Institutions such as the EBRD, the German Development Bank (KFW) and other international financial </w:t>
      </w:r>
      <w:r w:rsidR="003455E2" w:rsidRPr="79180EEC">
        <w:rPr>
          <w:rFonts w:cs="Calibri"/>
          <w:lang w:val="en-GB" w:eastAsia="en-GB"/>
        </w:rPr>
        <w:t>organisations</w:t>
      </w:r>
      <w:r w:rsidRPr="79180EEC">
        <w:rPr>
          <w:rFonts w:cs="Calibri"/>
          <w:lang w:val="en-GB" w:eastAsia="en-GB"/>
        </w:rPr>
        <w:t xml:space="preserve"> provide significant financial support to SMEs through loans, grants and credit lines, which are later distributed through local financial institutions. In addition to financial resources, these institutions also offer technical support in the form of consultations, training and energy efficiency monitoring tools, which further contributes to market development and raising awareness of sustainable solutions.</w:t>
      </w:r>
    </w:p>
    <w:p w14:paraId="4EDE6BB1" w14:textId="4B7B6D67" w:rsidR="79180EEC" w:rsidRDefault="005F6900" w:rsidP="00470022">
      <w:pPr>
        <w:spacing w:before="100" w:beforeAutospacing="1" w:after="100" w:afterAutospacing="1"/>
        <w:jc w:val="both"/>
        <w:rPr>
          <w:rFonts w:cs="Calibri"/>
          <w:lang w:val="en-GB" w:eastAsia="en-GB"/>
        </w:rPr>
      </w:pPr>
      <w:r w:rsidRPr="79180EEC">
        <w:rPr>
          <w:rFonts w:cs="Calibri"/>
          <w:lang w:val="en-GB" w:eastAsia="en-GB"/>
        </w:rPr>
        <w:t>However, one of the key constraints in the implementation of green financial instruments is the lack of awareness among SMEs about available financing options. Therefore, this guide provides a clear and comprehensive overview of green financial instruments available in Serbia and North Macedonia, with specific information on potential sources of financing, the conditions for obtaining them, and ways in which SMEs can use them to improve their business activities in line with the principles of sustainable development.</w:t>
      </w:r>
    </w:p>
    <w:p w14:paraId="05A46BC5" w14:textId="7B989AB7" w:rsidR="005F6900" w:rsidRPr="00E413B4" w:rsidRDefault="005F6900" w:rsidP="005F6900">
      <w:pPr>
        <w:spacing w:before="100" w:beforeAutospacing="1" w:after="100" w:afterAutospacing="1"/>
        <w:jc w:val="both"/>
        <w:rPr>
          <w:rFonts w:cs="Calibri"/>
          <w:lang w:val="en-GB" w:eastAsia="en-GB"/>
        </w:rPr>
      </w:pPr>
      <w:r w:rsidRPr="00E413B4">
        <w:rPr>
          <w:rFonts w:cs="Calibri"/>
          <w:b/>
          <w:i/>
          <w:iCs/>
          <w:lang w:val="en-GB" w:eastAsia="en-GB"/>
        </w:rPr>
        <w:t xml:space="preserve">Green financing opportunities through project participation: </w:t>
      </w:r>
      <w:r w:rsidRPr="00E413B4">
        <w:rPr>
          <w:rFonts w:cs="Calibri"/>
          <w:lang w:val="en-GB" w:eastAsia="en-GB"/>
        </w:rPr>
        <w:t>Several financial instruments and programs are available in Serbia to support small and medium-sized enterprises (SMEs) in the process of greening their businesses. These programs provide financial and non-financial support for improving energy efficiency, reducing emissions, and introducing sustainable technologies.</w:t>
      </w:r>
    </w:p>
    <w:p w14:paraId="0FC70C6E" w14:textId="5DEA16FC"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UNDP: </w:t>
      </w:r>
      <w:r w:rsidRPr="79180EEC">
        <w:rPr>
          <w:rFonts w:cs="Calibri"/>
          <w:lang w:val="en-GB" w:eastAsia="en-GB"/>
        </w:rPr>
        <w:t>UNDP is implementing initiatives to improve access to climate finance in Serbia. These programmes provide support in project preparation, feasibility analysis and economic analyses, in order to facilitate access to additional sources of financing for green projects.</w:t>
      </w:r>
    </w:p>
    <w:p w14:paraId="6234A3B6" w14:textId="77777777" w:rsidR="005F6900" w:rsidRPr="00E413B4" w:rsidRDefault="005F6900" w:rsidP="005F6900">
      <w:pPr>
        <w:spacing w:before="100" w:beforeAutospacing="1" w:after="100" w:afterAutospacing="1"/>
        <w:jc w:val="both"/>
        <w:rPr>
          <w:rFonts w:cs="Calibri"/>
          <w:lang w:val="en-GB" w:eastAsia="en-GB"/>
        </w:rPr>
      </w:pPr>
      <w:r w:rsidRPr="00E413B4">
        <w:rPr>
          <w:rFonts w:cs="Calibri"/>
          <w:b/>
          <w:lang w:val="en-GB" w:eastAsia="en-GB"/>
        </w:rPr>
        <w:t xml:space="preserve">Council of Europe Development Bank (CEB) Programmes: </w:t>
      </w:r>
      <w:r w:rsidRPr="00E413B4">
        <w:rPr>
          <w:rFonts w:cs="Calibri"/>
          <w:lang w:val="en-GB" w:eastAsia="en-GB"/>
        </w:rPr>
        <w:t>The CEB, in cooperation with local financial institutions, provides support for projects that contribute to sustainable development and environmental protection. These programmes are aimed at financing projects that improve energy efficiency and reduce carbon footprint.</w:t>
      </w:r>
    </w:p>
    <w:p w14:paraId="18796F76" w14:textId="0997B84E" w:rsidR="005F6900" w:rsidRPr="00E413B4" w:rsidRDefault="00AD5A0F" w:rsidP="79180EEC">
      <w:pPr>
        <w:spacing w:before="100" w:beforeAutospacing="1" w:after="100" w:afterAutospacing="1"/>
        <w:jc w:val="both"/>
        <w:rPr>
          <w:rFonts w:cs="Calibri"/>
          <w:lang w:val="en-GB" w:eastAsia="en-GB"/>
        </w:rPr>
      </w:pPr>
      <w:r w:rsidRPr="79180EEC">
        <w:rPr>
          <w:rFonts w:cs="Calibri"/>
          <w:b/>
          <w:bCs/>
          <w:lang w:val="en-GB" w:eastAsia="en-GB"/>
        </w:rPr>
        <w:t xml:space="preserve">EBRDs </w:t>
      </w:r>
      <w:r w:rsidR="005F6900" w:rsidRPr="79180EEC">
        <w:rPr>
          <w:rFonts w:cs="Calibri"/>
          <w:b/>
          <w:bCs/>
          <w:lang w:val="en-GB" w:eastAsia="en-GB"/>
        </w:rPr>
        <w:t xml:space="preserve">SME Go Green </w:t>
      </w:r>
      <w:r w:rsidR="006F2F3A" w:rsidRPr="79180EEC">
        <w:rPr>
          <w:rFonts w:cs="Calibri"/>
          <w:b/>
          <w:bCs/>
          <w:lang w:val="en-GB" w:eastAsia="en-GB"/>
        </w:rPr>
        <w:t>programme</w:t>
      </w:r>
      <w:r w:rsidRPr="79180EEC">
        <w:rPr>
          <w:rFonts w:cs="Calibri"/>
          <w:b/>
          <w:bCs/>
          <w:lang w:val="en-GB" w:eastAsia="en-GB"/>
        </w:rPr>
        <w:t>:</w:t>
      </w:r>
      <w:r w:rsidR="00BB6BB2" w:rsidRPr="79180EEC">
        <w:rPr>
          <w:rFonts w:cs="Calibri"/>
          <w:b/>
          <w:bCs/>
          <w:lang w:val="en-GB" w:eastAsia="en-GB"/>
        </w:rPr>
        <w:t xml:space="preserve"> </w:t>
      </w:r>
      <w:r w:rsidR="005F6900" w:rsidRPr="79180EEC">
        <w:rPr>
          <w:rFonts w:cs="Calibri"/>
          <w:lang w:val="en-GB" w:eastAsia="en-GB"/>
        </w:rPr>
        <w:t>The EBRD, in cooperation with the European Union, has launched the "</w:t>
      </w:r>
      <w:r w:rsidR="00CE682B" w:rsidRPr="79180EEC">
        <w:rPr>
          <w:rFonts w:cs="Calibri"/>
          <w:lang w:val="en-GB" w:eastAsia="en-GB"/>
        </w:rPr>
        <w:t>SME Go Green programme</w:t>
      </w:r>
      <w:r w:rsidR="005F6900" w:rsidRPr="79180EEC">
        <w:rPr>
          <w:rFonts w:cs="Calibri"/>
          <w:lang w:val="en-GB" w:eastAsia="en-GB"/>
        </w:rPr>
        <w:t xml:space="preserve"> with the aim of supporting SMEs in Serbia in reducing their environmental impact and increasing sustainability. The program provides loans for investments in green technologies, such as solar panels, building insulation and energy-efficient equipment. Upon successful completion of the project, companies can receive a refund of funds in the amount of 10% to 15% of the loan value.</w:t>
      </w:r>
    </w:p>
    <w:p w14:paraId="05B5BC64" w14:textId="6DC46252"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European Investment Bank (EIB) programs: </w:t>
      </w:r>
      <w:r w:rsidRPr="79180EEC">
        <w:rPr>
          <w:rFonts w:cs="Calibri"/>
          <w:lang w:val="en-GB" w:eastAsia="en-GB"/>
        </w:rPr>
        <w:t xml:space="preserve">The EIB, in cooperation with local banks such as Banca Intesa provides significant funding for the sustainable growth of Serbian SMEs. These programs enable access to </w:t>
      </w:r>
      <w:r w:rsidR="00BB2D99" w:rsidRPr="79180EEC">
        <w:rPr>
          <w:rFonts w:cs="Calibri"/>
          <w:lang w:val="en-GB" w:eastAsia="en-GB"/>
        </w:rPr>
        <w:t>favourable</w:t>
      </w:r>
      <w:r w:rsidRPr="79180EEC">
        <w:rPr>
          <w:rFonts w:cs="Calibri"/>
          <w:lang w:val="en-GB" w:eastAsia="en-GB"/>
        </w:rPr>
        <w:t xml:space="preserve"> loans for projects that contribute to the green transition and improve energy efficiency.</w:t>
      </w:r>
    </w:p>
    <w:p w14:paraId="2808F67C" w14:textId="19C7F4DA"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lastRenderedPageBreak/>
        <w:t xml:space="preserve">International Finance Corporation (IFC) programs: </w:t>
      </w:r>
      <w:r w:rsidRPr="79180EEC">
        <w:rPr>
          <w:rFonts w:cs="Calibri"/>
          <w:lang w:val="en-GB" w:eastAsia="en-GB"/>
        </w:rPr>
        <w:t>IFC works with local banks, such as Erste Bank, to increase access to finance for SMEs and support the green transition. These programs provide loans for projects that include improving energy efficiency and reducing emissions.</w:t>
      </w:r>
    </w:p>
    <w:p w14:paraId="7AE4C8B0" w14:textId="38FB130C"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COSME</w:t>
      </w:r>
      <w:r w:rsidRPr="00E413B4">
        <w:rPr>
          <w:rFonts w:cs="Calibri"/>
          <w:lang w:val="en-GB" w:eastAsia="en-GB"/>
        </w:rPr>
        <w:t xml:space="preserve">: Although the COSME programme for the competitiveness of enterprises and SMEs ran from 2014 to 2020, its activities have been continued through a new programme called </w:t>
      </w:r>
      <w:proofErr w:type="spellStart"/>
      <w:r w:rsidRPr="00E413B4">
        <w:rPr>
          <w:rFonts w:cs="Calibri"/>
          <w:lang w:val="en-GB" w:eastAsia="en-GB"/>
        </w:rPr>
        <w:t>InvestEU</w:t>
      </w:r>
      <w:proofErr w:type="spellEnd"/>
      <w:r w:rsidRPr="00E413B4">
        <w:rPr>
          <w:rFonts w:cs="Calibri"/>
          <w:lang w:val="en-GB" w:eastAsia="en-GB"/>
        </w:rPr>
        <w:t>, which will run until 2027. This programme aims to facilitate access to finance and markets, improve the business environment and encourage entrepreneurship.</w:t>
      </w:r>
      <w:r w:rsidRPr="00E413B4">
        <w:rPr>
          <w:rStyle w:val="FootnoteReference"/>
          <w:rFonts w:cs="Calibri"/>
          <w:lang w:val="en-GB" w:eastAsia="en-GB"/>
        </w:rPr>
        <w:footnoteReference w:id="6"/>
      </w:r>
      <w:r w:rsidR="00BB2D99">
        <w:rPr>
          <w:rFonts w:cs="Calibri"/>
          <w:lang w:val="en-GB" w:eastAsia="en-GB"/>
        </w:rPr>
        <w:t xml:space="preserve"> </w:t>
      </w:r>
      <w:r w:rsidRPr="00E413B4">
        <w:rPr>
          <w:rFonts w:cs="Calibri"/>
          <w:lang w:val="en-GB" w:eastAsia="en-GB"/>
        </w:rPr>
        <w:t>The programme brings together different EU financial instruments to facilitate access to finance for SMEs.</w:t>
      </w:r>
    </w:p>
    <w:p w14:paraId="35F3F961" w14:textId="6AD8D14A"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Horizon Europe: </w:t>
      </w:r>
      <w:r w:rsidRPr="79180EEC">
        <w:rPr>
          <w:rFonts w:cs="Calibri"/>
          <w:lang w:val="en-GB" w:eastAsia="en-GB"/>
        </w:rPr>
        <w:t>This is the main EU research and innovation programme available to Serbian SMEs. The programme provides financial support for research and innovation projects at various stages of development. Applications are submitted in response to public calls published on the Funding and Tenders Portal.</w:t>
      </w:r>
    </w:p>
    <w:p w14:paraId="6BB2D860" w14:textId="4C37FA34"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Programs through the Development Agency of Serbia (RAS): </w:t>
      </w:r>
      <w:r w:rsidRPr="00E413B4">
        <w:rPr>
          <w:rFonts w:cs="Calibri"/>
          <w:lang w:val="en-GB" w:eastAsia="en-GB"/>
        </w:rPr>
        <w:t>RAS distributes EU funds to end beneficiaries through selected banks, providing financial support to SMEs for various projects. More information about these opportunities can be found on their official website</w:t>
      </w:r>
      <w:r w:rsidRPr="00E413B4">
        <w:rPr>
          <w:rStyle w:val="FootnoteReference"/>
          <w:rFonts w:cs="Calibri"/>
          <w:lang w:val="en-GB" w:eastAsia="en-GB"/>
        </w:rPr>
        <w:footnoteReference w:id="7"/>
      </w:r>
      <w:r w:rsidRPr="00E413B4">
        <w:rPr>
          <w:rFonts w:cs="Calibri"/>
          <w:lang w:val="en-GB" w:eastAsia="en-GB"/>
        </w:rPr>
        <w:t>.</w:t>
      </w:r>
    </w:p>
    <w:p w14:paraId="4723C86C" w14:textId="337D5AD8"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Enterprise Europe Network (EEN</w:t>
      </w:r>
      <w:r w:rsidRPr="79180EEC">
        <w:rPr>
          <w:rFonts w:cs="Calibri"/>
          <w:lang w:val="en-GB" w:eastAsia="en-GB"/>
        </w:rPr>
        <w:t>): EEN supports SMEs in finding business partners, accessing new markets and advising on financial opportunities. SMEs can use this network to expand their business and access new opportunities.</w:t>
      </w:r>
    </w:p>
    <w:p w14:paraId="42CCA04A" w14:textId="2E745642" w:rsidR="005F6900" w:rsidRPr="00E413B4" w:rsidRDefault="005F6900" w:rsidP="79180EEC">
      <w:pPr>
        <w:spacing w:before="100" w:beforeAutospacing="1" w:after="100" w:afterAutospacing="1"/>
        <w:jc w:val="both"/>
        <w:rPr>
          <w:rFonts w:cs="Calibri"/>
          <w:lang w:val="en-GB" w:eastAsia="en-GB"/>
        </w:rPr>
      </w:pPr>
      <w:r w:rsidRPr="79180EEC">
        <w:rPr>
          <w:rFonts w:cs="Calibri"/>
          <w:b/>
          <w:bCs/>
          <w:lang w:val="en-GB" w:eastAsia="en-GB"/>
        </w:rPr>
        <w:t xml:space="preserve">EU Instrument for Pre-Accession Assistance for Rural Development (IPARD): </w:t>
      </w:r>
      <w:r w:rsidRPr="79180EEC">
        <w:rPr>
          <w:rFonts w:cs="Calibri"/>
          <w:lang w:val="en-GB" w:eastAsia="en-GB"/>
        </w:rPr>
        <w:t>The IPARD programme represents an excellent opportunity for small and medium-sized enterprises to improve their business while contributing to environmental protection. IPARD subsidies cover up to 50% of the total eligible investment costs, and for investments in waste management, wastewater, renewable energy production and storage or other circular economy projects, support is increased by an additional 10%. SMEs in the food industry investing in the processing and marketing of agricultural and fishery products can receive subsidies of up to 60% of the total investment value. The funds are allocated through public calls, and the programme is available to companies in Serbia and North Macedonia.</w:t>
      </w:r>
    </w:p>
    <w:p w14:paraId="3F2E148B" w14:textId="256F24E2" w:rsidR="005F6900" w:rsidRPr="00E413B4" w:rsidRDefault="0028626A" w:rsidP="79180EEC">
      <w:pPr>
        <w:spacing w:before="100" w:beforeAutospacing="1" w:after="100" w:afterAutospacing="1"/>
        <w:jc w:val="both"/>
        <w:rPr>
          <w:rFonts w:cs="Calibri"/>
          <w:lang w:val="en-GB" w:eastAsia="en-GB"/>
        </w:rPr>
      </w:pPr>
      <w:r w:rsidRPr="79180EEC">
        <w:rPr>
          <w:rFonts w:cs="Calibri"/>
          <w:b/>
          <w:bCs/>
          <w:lang w:val="en-GB" w:eastAsia="en-GB"/>
        </w:rPr>
        <w:t>Interreg VI-A</w:t>
      </w:r>
      <w:r w:rsidR="007C3C69" w:rsidRPr="79180EEC">
        <w:rPr>
          <w:rFonts w:cs="Calibri"/>
          <w:b/>
          <w:bCs/>
          <w:lang w:val="en-GB" w:eastAsia="en-GB"/>
        </w:rPr>
        <w:t>,</w:t>
      </w:r>
      <w:r w:rsidRPr="79180EEC">
        <w:rPr>
          <w:rFonts w:cs="Calibri"/>
          <w:b/>
          <w:bCs/>
          <w:lang w:val="en-GB" w:eastAsia="en-GB"/>
        </w:rPr>
        <w:t xml:space="preserve"> IPA Programme Bulgaria – Serbia 2021 – 2027</w:t>
      </w:r>
      <w:r w:rsidR="005F6900" w:rsidRPr="79180EEC">
        <w:rPr>
          <w:rStyle w:val="FootnoteReference"/>
          <w:rFonts w:cs="Calibri"/>
          <w:b/>
          <w:bCs/>
          <w:lang w:val="en-GB" w:eastAsia="en-GB"/>
        </w:rPr>
        <w:footnoteReference w:id="8"/>
      </w:r>
      <w:r w:rsidR="005F6900" w:rsidRPr="79180EEC">
        <w:rPr>
          <w:rFonts w:cs="Calibri"/>
          <w:b/>
          <w:bCs/>
          <w:lang w:val="en-GB" w:eastAsia="en-GB"/>
        </w:rPr>
        <w:t xml:space="preserve">: </w:t>
      </w:r>
      <w:r w:rsidR="005F6900" w:rsidRPr="00E413B4">
        <w:rPr>
          <w:rFonts w:cs="Calibri"/>
          <w:lang w:val="en-GB" w:eastAsia="en-GB"/>
        </w:rPr>
        <w:t>Within this programme and Priority 1: Competitive Cross-Border Region with specific objective RSO1.3</w:t>
      </w:r>
      <w:r w:rsidR="007C3C69">
        <w:rPr>
          <w:rFonts w:cs="Calibri"/>
          <w:lang w:val="en-GB" w:eastAsia="en-GB"/>
        </w:rPr>
        <w:t>:</w:t>
      </w:r>
      <w:r w:rsidR="005F6900" w:rsidRPr="00E413B4">
        <w:rPr>
          <w:rFonts w:cs="Calibri"/>
          <w:lang w:val="en-GB" w:eastAsia="en-GB"/>
        </w:rPr>
        <w:t xml:space="preserve">"Promoting sustainable growth and competitiveness of small and medium-sized enterprises and creating new jobs in small and medium-sized enterprises, including productive investments", SMEs </w:t>
      </w:r>
      <w:r w:rsidR="007C3C69" w:rsidRPr="00E413B4">
        <w:rPr>
          <w:rFonts w:cs="Calibri"/>
          <w:lang w:val="en-GB" w:eastAsia="en-GB"/>
        </w:rPr>
        <w:t>could</w:t>
      </w:r>
      <w:r w:rsidR="005F6900" w:rsidRPr="00E413B4">
        <w:rPr>
          <w:rFonts w:cs="Calibri"/>
          <w:lang w:val="en-GB" w:eastAsia="en-GB"/>
        </w:rPr>
        <w:t xml:space="preserve"> improve their business through cooperation with partner SMEs from Bulgaria.</w:t>
      </w:r>
    </w:p>
    <w:p w14:paraId="53D3E2CC" w14:textId="5920E866" w:rsidR="79180EEC" w:rsidRPr="00470022" w:rsidRDefault="005F6900" w:rsidP="00470022">
      <w:pPr>
        <w:spacing w:before="100" w:beforeAutospacing="1" w:after="100" w:afterAutospacing="1"/>
        <w:jc w:val="both"/>
        <w:rPr>
          <w:rFonts w:cs="Calibri"/>
          <w:b/>
          <w:bCs/>
          <w:lang w:val="en-GB" w:eastAsia="en-GB"/>
        </w:rPr>
      </w:pPr>
      <w:r w:rsidRPr="79180EEC">
        <w:rPr>
          <w:rFonts w:cs="Calibri"/>
          <w:b/>
          <w:bCs/>
          <w:lang w:val="en-GB" w:eastAsia="en-GB"/>
        </w:rPr>
        <w:t>Local banks and leasing companies</w:t>
      </w:r>
      <w:r w:rsidRPr="79180EEC">
        <w:rPr>
          <w:rFonts w:cs="Calibri"/>
          <w:lang w:val="en-GB" w:eastAsia="en-GB"/>
        </w:rPr>
        <w:t xml:space="preserve">: Many local banks and leasing companies, such as Banca Intesa, Erste Bank and UniCredit Bank, offer specialized credit lines and leasing arrangements for financing green projects. These instruments are often supported by international financial institutions and provide </w:t>
      </w:r>
      <w:r w:rsidR="007C3C69" w:rsidRPr="79180EEC">
        <w:rPr>
          <w:rFonts w:cs="Calibri"/>
          <w:lang w:val="en-GB" w:eastAsia="en-GB"/>
        </w:rPr>
        <w:t>favourable</w:t>
      </w:r>
      <w:r w:rsidRPr="79180EEC">
        <w:rPr>
          <w:rFonts w:cs="Calibri"/>
          <w:lang w:val="en-GB" w:eastAsia="en-GB"/>
        </w:rPr>
        <w:t xml:space="preserve"> conditions for SMEs wishing to invest in sustainable technologies. SMEs are encouraged to explore these opportunities and contact the institutions listed above to obtain more detailed information on the financing conditions and support available for their specific needs in the process of greening their businesses</w:t>
      </w:r>
      <w:r w:rsidRPr="79180EEC">
        <w:rPr>
          <w:rFonts w:cs="Calibri"/>
          <w:b/>
          <w:bCs/>
          <w:lang w:val="en-GB" w:eastAsia="en-GB"/>
        </w:rPr>
        <w:t xml:space="preserve">. </w:t>
      </w:r>
      <w:r w:rsidRPr="79180EEC">
        <w:rPr>
          <w:rFonts w:cs="Calibri"/>
          <w:lang w:val="en-GB" w:eastAsia="en-GB"/>
        </w:rPr>
        <w:t>To apply for these programs, SMEs should follow the official calls for project proposals, which are published on the European Commission's Funding and Tenders Portal. Each call contains detailed information on the conditions, eligibility criteria and how to apply. It is recommended that SMEs regularly monitor these sources and consult with experts or relevant institutions to ensure a successful application and take advantage of the available financing opportunities.</w:t>
      </w:r>
    </w:p>
    <w:p w14:paraId="0F92F093" w14:textId="5E80850B" w:rsidR="79180EEC" w:rsidRDefault="005F6900" w:rsidP="00470022">
      <w:pPr>
        <w:spacing w:before="100" w:beforeAutospacing="1" w:after="100" w:afterAutospacing="1"/>
        <w:jc w:val="both"/>
        <w:rPr>
          <w:rFonts w:cs="Calibri"/>
          <w:lang w:val="en-GB" w:eastAsia="en-GB"/>
        </w:rPr>
      </w:pPr>
      <w:r w:rsidRPr="79180EEC">
        <w:rPr>
          <w:rFonts w:cs="Calibri"/>
          <w:lang w:val="en-GB" w:eastAsia="en-GB"/>
        </w:rPr>
        <w:lastRenderedPageBreak/>
        <w:t xml:space="preserve">Small and medium-sized enterprises in Serbia can rely on several institutions and </w:t>
      </w:r>
      <w:r w:rsidR="003455E2" w:rsidRPr="79180EEC">
        <w:rPr>
          <w:rFonts w:cs="Calibri"/>
          <w:lang w:val="en-GB" w:eastAsia="en-GB"/>
        </w:rPr>
        <w:t>organisations</w:t>
      </w:r>
      <w:r w:rsidRPr="79180EEC">
        <w:rPr>
          <w:rFonts w:cs="Calibri"/>
          <w:lang w:val="en-GB" w:eastAsia="en-GB"/>
        </w:rPr>
        <w:t xml:space="preserve"> that provide support at different stages of business development. The Development Agency of Serbia (RAS) is a key institution for financial support, advice and export promotion. The Development Fund of the Republic of Serbia offers </w:t>
      </w:r>
      <w:r w:rsidR="007C3C69" w:rsidRPr="79180EEC">
        <w:rPr>
          <w:rFonts w:cs="Calibri"/>
          <w:lang w:val="en-GB" w:eastAsia="en-GB"/>
        </w:rPr>
        <w:t>favourable</w:t>
      </w:r>
      <w:r w:rsidRPr="79180EEC">
        <w:rPr>
          <w:rFonts w:cs="Calibri"/>
          <w:lang w:val="en-GB" w:eastAsia="en-GB"/>
        </w:rPr>
        <w:t xml:space="preserve"> loans for the purchase of equipment and investment in the expansion of production. The </w:t>
      </w:r>
      <w:r w:rsidR="007C3C69" w:rsidRPr="79180EEC">
        <w:rPr>
          <w:rFonts w:cs="Calibri"/>
          <w:lang w:val="en-GB" w:eastAsia="en-GB"/>
        </w:rPr>
        <w:t>EEN</w:t>
      </w:r>
      <w:r w:rsidRPr="79180EEC">
        <w:rPr>
          <w:rFonts w:cs="Calibri"/>
          <w:lang w:val="en-GB" w:eastAsia="en-GB"/>
        </w:rPr>
        <w:t xml:space="preserve"> helps SMEs find business partners in the EU and access new markets, while the Serbian Chamber of Commerce (SCC) offers education, networking and expert assistance in interpreting regulations and standards. There are also regional development agencies and incubators, technology parks that provide local support, mentoring and technical assistance throughout the country. These </w:t>
      </w:r>
      <w:r w:rsidR="003455E2" w:rsidRPr="79180EEC">
        <w:rPr>
          <w:rFonts w:cs="Calibri"/>
          <w:lang w:val="en-GB" w:eastAsia="en-GB"/>
        </w:rPr>
        <w:t>organisations</w:t>
      </w:r>
      <w:r w:rsidRPr="79180EEC">
        <w:rPr>
          <w:rFonts w:cs="Calibri"/>
          <w:lang w:val="en-GB" w:eastAsia="en-GB"/>
        </w:rPr>
        <w:t xml:space="preserve"> play a key role in strengthening the capacity of the SME sector and its greater readiness for domestic and international competitions and markets. You can find a map of support </w:t>
      </w:r>
      <w:r w:rsidR="003455E2" w:rsidRPr="79180EEC">
        <w:rPr>
          <w:rFonts w:cs="Calibri"/>
          <w:lang w:val="en-GB" w:eastAsia="en-GB"/>
        </w:rPr>
        <w:t>organisations</w:t>
      </w:r>
      <w:r w:rsidRPr="79180EEC">
        <w:rPr>
          <w:rFonts w:cs="Calibri"/>
          <w:lang w:val="en-GB" w:eastAsia="en-GB"/>
        </w:rPr>
        <w:t xml:space="preserve"> in Serbia at the following link </w:t>
      </w:r>
      <w:hyperlink r:id="rId8">
        <w:r w:rsidRPr="79180EEC">
          <w:rPr>
            <w:rStyle w:val="Hyperlink"/>
            <w:rFonts w:cs="Calibri"/>
            <w:lang w:val="en-GB" w:eastAsia="en-GB"/>
          </w:rPr>
          <w:t xml:space="preserve">https://preduzetnistvo.gov.rs/mapa/ </w:t>
        </w:r>
      </w:hyperlink>
      <w:r w:rsidRPr="79180EEC">
        <w:rPr>
          <w:rFonts w:cs="Calibri"/>
          <w:lang w:val="en-GB" w:eastAsia="en-GB"/>
        </w:rPr>
        <w:t xml:space="preserve">Available SME support programs can be found at </w:t>
      </w:r>
      <w:hyperlink r:id="rId9">
        <w:r w:rsidRPr="79180EEC">
          <w:rPr>
            <w:rStyle w:val="Hyperlink"/>
            <w:rFonts w:cs="Calibri"/>
            <w:lang w:val="en-GB" w:eastAsia="en-GB"/>
          </w:rPr>
          <w:t>https://preduzetnistvo.gov.rs/programi-podrske/</w:t>
        </w:r>
      </w:hyperlink>
      <w:r w:rsidRPr="79180EEC">
        <w:rPr>
          <w:rFonts w:cs="Calibri"/>
          <w:lang w:val="en-GB" w:eastAsia="en-GB"/>
        </w:rPr>
        <w:t xml:space="preserve"> </w:t>
      </w:r>
    </w:p>
    <w:p w14:paraId="5B554C8E" w14:textId="77777777" w:rsidR="005F6900" w:rsidRPr="00E413B4" w:rsidRDefault="005F6900" w:rsidP="005F6900">
      <w:pPr>
        <w:spacing w:before="100" w:beforeAutospacing="1" w:after="100" w:afterAutospacing="1"/>
        <w:jc w:val="both"/>
        <w:rPr>
          <w:rFonts w:cs="Calibri"/>
          <w:lang w:val="en-GB" w:eastAsia="en-GB"/>
        </w:rPr>
      </w:pPr>
      <w:r w:rsidRPr="00E413B4">
        <w:rPr>
          <w:rFonts w:cs="Calibri"/>
          <w:lang w:val="en-GB" w:eastAsia="en-GB"/>
        </w:rPr>
        <w:t xml:space="preserve">An overview of funding sources with contact addresses is provided in the document </w:t>
      </w:r>
      <w:r w:rsidRPr="00E413B4">
        <w:rPr>
          <w:rFonts w:cs="Calibri"/>
          <w:b/>
          <w:lang w:val="en-GB" w:eastAsia="en-GB"/>
        </w:rPr>
        <w:t xml:space="preserve">Overview of funding sources for small and medium-sized enterprises and entrepreneurs, </w:t>
      </w:r>
      <w:r w:rsidRPr="00E413B4">
        <w:rPr>
          <w:rFonts w:cs="Calibri"/>
          <w:lang w:val="en-GB" w:eastAsia="en-GB"/>
        </w:rPr>
        <w:t>which is attached to this document.</w:t>
      </w:r>
    </w:p>
    <w:p w14:paraId="0E793696" w14:textId="596B7320" w:rsidR="005F6900" w:rsidRPr="00E413B4" w:rsidRDefault="005F6900" w:rsidP="005F6900">
      <w:pPr>
        <w:pStyle w:val="Heading1"/>
        <w:spacing w:before="0" w:after="0"/>
        <w:rPr>
          <w:rFonts w:asciiTheme="minorHAnsi" w:hAnsiTheme="minorHAnsi" w:cstheme="minorHAnsi"/>
          <w:b/>
          <w:bCs/>
          <w:color w:val="17365D" w:themeColor="text2" w:themeShade="BF"/>
          <w:sz w:val="22"/>
          <w:szCs w:val="22"/>
          <w:lang w:val="en-GB"/>
        </w:rPr>
      </w:pPr>
      <w:bookmarkStart w:id="14" w:name="_Toc195167995"/>
      <w:r w:rsidRPr="00E413B4">
        <w:rPr>
          <w:rFonts w:asciiTheme="minorHAnsi" w:hAnsiTheme="minorHAnsi" w:cstheme="minorHAnsi"/>
          <w:b/>
          <w:bCs/>
          <w:color w:val="17365D" w:themeColor="text2" w:themeShade="BF"/>
          <w:sz w:val="22"/>
          <w:szCs w:val="22"/>
          <w:lang w:val="en-GB"/>
        </w:rPr>
        <w:t>5. Sources and resources</w:t>
      </w:r>
      <w:bookmarkEnd w:id="14"/>
    </w:p>
    <w:p w14:paraId="5B2FC393" w14:textId="77777777" w:rsidR="005F6900" w:rsidRPr="00E413B4" w:rsidRDefault="005F6900" w:rsidP="005F6900">
      <w:pPr>
        <w:rPr>
          <w:lang w:val="en-GB"/>
        </w:rPr>
      </w:pPr>
    </w:p>
    <w:p w14:paraId="526EC940" w14:textId="77777777" w:rsidR="005F6900" w:rsidRPr="00E413B4" w:rsidRDefault="005F6900" w:rsidP="005F6900">
      <w:pPr>
        <w:pStyle w:val="ListParagraph"/>
        <w:numPr>
          <w:ilvl w:val="0"/>
          <w:numId w:val="34"/>
        </w:numPr>
        <w:jc w:val="both"/>
        <w:rPr>
          <w:lang w:val="en-GB"/>
        </w:rPr>
      </w:pPr>
      <w:r w:rsidRPr="00E413B4">
        <w:rPr>
          <w:lang w:val="en-GB"/>
        </w:rPr>
        <w:t>Ministry of Environmental Protection of the Republic of Serbia. "National Strategy for Sustainable Development" (2021).</w:t>
      </w:r>
    </w:p>
    <w:p w14:paraId="7F2B76D6" w14:textId="5FD0E21D" w:rsidR="005F6900" w:rsidRPr="00E413B4" w:rsidRDefault="005F6900" w:rsidP="005F6900">
      <w:pPr>
        <w:pStyle w:val="ListParagraph"/>
        <w:numPr>
          <w:ilvl w:val="0"/>
          <w:numId w:val="34"/>
        </w:numPr>
        <w:jc w:val="both"/>
        <w:rPr>
          <w:lang w:val="en-GB"/>
        </w:rPr>
      </w:pPr>
      <w:r w:rsidRPr="79180EEC">
        <w:rPr>
          <w:lang w:val="en-GB"/>
        </w:rPr>
        <w:t>European Small Business Alliance (ESBA). "Sustainable Business Practices for SMEs" (2020).</w:t>
      </w:r>
    </w:p>
    <w:p w14:paraId="417AE0BC" w14:textId="00C8A4C0" w:rsidR="005F6900" w:rsidRPr="00E413B4" w:rsidRDefault="005F6900" w:rsidP="005F6900">
      <w:pPr>
        <w:pStyle w:val="ListParagraph"/>
        <w:numPr>
          <w:ilvl w:val="0"/>
          <w:numId w:val="34"/>
        </w:numPr>
        <w:jc w:val="both"/>
        <w:rPr>
          <w:lang w:val="en-GB"/>
        </w:rPr>
      </w:pPr>
      <w:r w:rsidRPr="79180EEC">
        <w:rPr>
          <w:lang w:val="en-GB"/>
        </w:rPr>
        <w:t>OECD (Organisation for Economic Cooperation and Development) for Economic Cooperation and Development). "Green Growth and Sustainable Development" (2019).</w:t>
      </w:r>
    </w:p>
    <w:p w14:paraId="220C62D7" w14:textId="666A650F" w:rsidR="005F6900" w:rsidRPr="00E413B4" w:rsidRDefault="005F6900" w:rsidP="005F6900">
      <w:pPr>
        <w:pStyle w:val="ListParagraph"/>
        <w:numPr>
          <w:ilvl w:val="0"/>
          <w:numId w:val="34"/>
        </w:numPr>
        <w:jc w:val="both"/>
        <w:rPr>
          <w:lang w:val="en-GB"/>
        </w:rPr>
      </w:pPr>
      <w:r w:rsidRPr="79180EEC">
        <w:rPr>
          <w:lang w:val="en-GB"/>
        </w:rPr>
        <w:t>European Commission. "EU Taxonomy for sustainable activities" (2020).</w:t>
      </w:r>
    </w:p>
    <w:p w14:paraId="5038A414" w14:textId="77777777" w:rsidR="005F6900" w:rsidRPr="00E413B4" w:rsidRDefault="005F6900" w:rsidP="005F6900">
      <w:pPr>
        <w:pStyle w:val="ListParagraph"/>
        <w:numPr>
          <w:ilvl w:val="0"/>
          <w:numId w:val="34"/>
        </w:numPr>
        <w:jc w:val="both"/>
        <w:rPr>
          <w:lang w:val="en-GB"/>
        </w:rPr>
      </w:pPr>
      <w:r w:rsidRPr="00E413B4">
        <w:rPr>
          <w:lang w:val="en-GB"/>
        </w:rPr>
        <w:t>Principles for Responsible Investment (PRI). " The Principles for Responsible Investment " (2019).</w:t>
      </w:r>
    </w:p>
    <w:p w14:paraId="27FB622B" w14:textId="3EA1C187" w:rsidR="005F6900" w:rsidRPr="00E413B4" w:rsidRDefault="005F6900" w:rsidP="005F6900">
      <w:pPr>
        <w:pStyle w:val="ListParagraph"/>
        <w:numPr>
          <w:ilvl w:val="0"/>
          <w:numId w:val="34"/>
        </w:numPr>
        <w:jc w:val="both"/>
        <w:rPr>
          <w:lang w:val="en-GB"/>
        </w:rPr>
      </w:pPr>
      <w:r w:rsidRPr="79180EEC">
        <w:rPr>
          <w:lang w:val="en-GB"/>
        </w:rPr>
        <w:t xml:space="preserve">World Bank </w:t>
      </w:r>
      <w:proofErr w:type="spellStart"/>
      <w:r w:rsidRPr="79180EEC">
        <w:rPr>
          <w:lang w:val="en-GB"/>
        </w:rPr>
        <w:t>Group"Green</w:t>
      </w:r>
      <w:proofErr w:type="spellEnd"/>
      <w:r w:rsidRPr="79180EEC">
        <w:rPr>
          <w:lang w:val="en-GB"/>
        </w:rPr>
        <w:t xml:space="preserve"> Finance: A New Way Forward" (2020).</w:t>
      </w:r>
    </w:p>
    <w:p w14:paraId="71F1C95C" w14:textId="6B1409B0" w:rsidR="005F6900" w:rsidRPr="00E413B4" w:rsidRDefault="005F6900" w:rsidP="005F6900">
      <w:pPr>
        <w:pStyle w:val="ListParagraph"/>
        <w:numPr>
          <w:ilvl w:val="0"/>
          <w:numId w:val="34"/>
        </w:numPr>
        <w:jc w:val="both"/>
        <w:rPr>
          <w:lang w:val="en-GB"/>
        </w:rPr>
      </w:pPr>
      <w:r w:rsidRPr="79180EEC">
        <w:rPr>
          <w:lang w:val="en-GB"/>
        </w:rPr>
        <w:t>International Capital Market Association (ICMA). "Green Bond Principles" (2021).</w:t>
      </w:r>
    </w:p>
    <w:p w14:paraId="63C6C209" w14:textId="41ADAFC3" w:rsidR="005F6900" w:rsidRPr="00E413B4" w:rsidRDefault="005F6900" w:rsidP="005F6900">
      <w:pPr>
        <w:pStyle w:val="ListParagraph"/>
        <w:numPr>
          <w:ilvl w:val="0"/>
          <w:numId w:val="34"/>
        </w:numPr>
        <w:jc w:val="both"/>
        <w:rPr>
          <w:lang w:val="en-GB"/>
        </w:rPr>
      </w:pPr>
      <w:r w:rsidRPr="79180EEC">
        <w:rPr>
          <w:lang w:val="en-GB"/>
        </w:rPr>
        <w:t>Global Reporting Initiative (GRI). "Sustainability Reporting Standards" (2016).</w:t>
      </w:r>
    </w:p>
    <w:p w14:paraId="5B0EB799" w14:textId="46E8DF89" w:rsidR="005F6900" w:rsidRPr="00E413B4" w:rsidRDefault="005F6900" w:rsidP="005F6900">
      <w:pPr>
        <w:pStyle w:val="ListParagraph"/>
        <w:numPr>
          <w:ilvl w:val="0"/>
          <w:numId w:val="34"/>
        </w:numPr>
        <w:jc w:val="both"/>
        <w:rPr>
          <w:lang w:val="en-GB"/>
        </w:rPr>
      </w:pPr>
      <w:r w:rsidRPr="79180EEC">
        <w:rPr>
          <w:lang w:val="en-GB"/>
        </w:rPr>
        <w:t>European Commission – EU Taxonomy Compass: https://finance.ec.europa.eu/eu-taxonomy-regulation</w:t>
      </w:r>
    </w:p>
    <w:p w14:paraId="5EA64ABD" w14:textId="454078CE" w:rsidR="005F6900" w:rsidRPr="00E413B4" w:rsidRDefault="005F6900" w:rsidP="005F6900">
      <w:pPr>
        <w:pStyle w:val="ListParagraph"/>
        <w:numPr>
          <w:ilvl w:val="0"/>
          <w:numId w:val="34"/>
        </w:numPr>
        <w:jc w:val="both"/>
        <w:rPr>
          <w:lang w:val="en-GB"/>
        </w:rPr>
      </w:pPr>
      <w:r w:rsidRPr="79180EEC">
        <w:rPr>
          <w:lang w:val="en-GB"/>
        </w:rPr>
        <w:t>European Commission – Sustainable Finance Action Plan: https://finance.ec.europa.eu/sustainable-finance</w:t>
      </w:r>
    </w:p>
    <w:p w14:paraId="2C8E0C8D" w14:textId="77777777" w:rsidR="005F6900" w:rsidRPr="00E413B4" w:rsidRDefault="005F6900" w:rsidP="005F6900">
      <w:pPr>
        <w:pStyle w:val="ListParagraph"/>
        <w:numPr>
          <w:ilvl w:val="0"/>
          <w:numId w:val="34"/>
        </w:numPr>
        <w:jc w:val="both"/>
        <w:rPr>
          <w:lang w:val="en-GB"/>
        </w:rPr>
      </w:pPr>
      <w:r w:rsidRPr="00E413B4">
        <w:rPr>
          <w:lang w:val="en-GB"/>
        </w:rPr>
        <w:t>Official Journal of the EU – EU Taxonomy Regulation (2020/852)</w:t>
      </w:r>
    </w:p>
    <w:p w14:paraId="60845988" w14:textId="0F58515F" w:rsidR="005F6900" w:rsidRPr="00E413B4" w:rsidRDefault="005F6900" w:rsidP="005F6900">
      <w:pPr>
        <w:pStyle w:val="ListParagraph"/>
        <w:numPr>
          <w:ilvl w:val="0"/>
          <w:numId w:val="34"/>
        </w:numPr>
        <w:jc w:val="both"/>
        <w:rPr>
          <w:lang w:val="en-GB"/>
        </w:rPr>
      </w:pPr>
      <w:r w:rsidRPr="79180EEC">
        <w:rPr>
          <w:lang w:val="en-GB"/>
        </w:rPr>
        <w:t>European Investment Bank – Green Finance.</w:t>
      </w:r>
    </w:p>
    <w:p w14:paraId="506BAE37" w14:textId="77777777" w:rsidR="005F6900" w:rsidRPr="00E413B4" w:rsidRDefault="005F6900" w:rsidP="005F6900">
      <w:pPr>
        <w:pStyle w:val="ListParagraph"/>
        <w:numPr>
          <w:ilvl w:val="0"/>
          <w:numId w:val="34"/>
        </w:numPr>
        <w:jc w:val="both"/>
        <w:rPr>
          <w:lang w:val="en-GB"/>
        </w:rPr>
      </w:pPr>
      <w:r w:rsidRPr="00E413B4">
        <w:rPr>
          <w:lang w:val="en-GB"/>
        </w:rPr>
        <w:t>OECD – Financing SMEs for Sustainability</w:t>
      </w:r>
    </w:p>
    <w:p w14:paraId="4E075ED4" w14:textId="77777777" w:rsidR="005F6900" w:rsidRPr="00E413B4" w:rsidRDefault="005F6900" w:rsidP="005F6900">
      <w:pPr>
        <w:pStyle w:val="ListParagraph"/>
        <w:numPr>
          <w:ilvl w:val="0"/>
          <w:numId w:val="34"/>
        </w:numPr>
        <w:jc w:val="both"/>
        <w:rPr>
          <w:lang w:val="en-GB"/>
        </w:rPr>
      </w:pPr>
      <w:r w:rsidRPr="00E413B4">
        <w:rPr>
          <w:lang w:val="en-GB"/>
        </w:rPr>
        <w:t>GIZ / EU4Green / UNDP – Practical manuals and guides for sustainable business and financing in the Western Balkans region</w:t>
      </w:r>
    </w:p>
    <w:p w14:paraId="0BCDC59C" w14:textId="77777777" w:rsidR="005F6900" w:rsidRPr="00E413B4" w:rsidRDefault="005F6900" w:rsidP="005F6900">
      <w:pPr>
        <w:pStyle w:val="ListParagraph"/>
        <w:numPr>
          <w:ilvl w:val="0"/>
          <w:numId w:val="34"/>
        </w:numPr>
        <w:jc w:val="both"/>
        <w:rPr>
          <w:lang w:val="en-GB"/>
        </w:rPr>
      </w:pPr>
      <w:r w:rsidRPr="00E413B4">
        <w:rPr>
          <w:lang w:val="en-GB"/>
        </w:rPr>
        <w:t xml:space="preserve">European Commission – Sustainable Finance and ESG Disclosures </w:t>
      </w:r>
    </w:p>
    <w:p w14:paraId="702295EF" w14:textId="77777777" w:rsidR="005F6900" w:rsidRPr="00E413B4" w:rsidRDefault="005F6900" w:rsidP="005F6900">
      <w:pPr>
        <w:pStyle w:val="ListParagraph"/>
        <w:numPr>
          <w:ilvl w:val="0"/>
          <w:numId w:val="34"/>
        </w:numPr>
        <w:jc w:val="both"/>
        <w:rPr>
          <w:lang w:val="en-GB"/>
        </w:rPr>
      </w:pPr>
      <w:r w:rsidRPr="00E413B4">
        <w:rPr>
          <w:lang w:val="en-GB"/>
        </w:rPr>
        <w:t xml:space="preserve">OECD – Environmental and Social Risk Management for SMEs </w:t>
      </w:r>
    </w:p>
    <w:p w14:paraId="79DEEEBA" w14:textId="77777777" w:rsidR="005F6900" w:rsidRPr="00E413B4" w:rsidRDefault="005F6900" w:rsidP="005F6900">
      <w:pPr>
        <w:pStyle w:val="ListParagraph"/>
        <w:numPr>
          <w:ilvl w:val="0"/>
          <w:numId w:val="34"/>
        </w:numPr>
        <w:jc w:val="both"/>
        <w:rPr>
          <w:lang w:val="en-GB"/>
        </w:rPr>
      </w:pPr>
      <w:r w:rsidRPr="00E413B4">
        <w:rPr>
          <w:lang w:val="en-GB"/>
        </w:rPr>
        <w:t>GIZ / EU4Green – Manuals for green economy and sustainable business for SMEs</w:t>
      </w:r>
    </w:p>
    <w:p w14:paraId="78794DFA" w14:textId="77777777" w:rsidR="005F6900" w:rsidRPr="00E413B4" w:rsidRDefault="005F6900" w:rsidP="005F6900">
      <w:pPr>
        <w:pStyle w:val="ListParagraph"/>
        <w:numPr>
          <w:ilvl w:val="0"/>
          <w:numId w:val="34"/>
        </w:numPr>
        <w:jc w:val="both"/>
        <w:rPr>
          <w:lang w:val="en-GB"/>
        </w:rPr>
      </w:pPr>
      <w:r w:rsidRPr="00E413B4">
        <w:rPr>
          <w:lang w:val="en-GB"/>
        </w:rPr>
        <w:t>UN Global Compact – ESG Reporting for Small Business</w:t>
      </w:r>
    </w:p>
    <w:p w14:paraId="60B16C20" w14:textId="77777777" w:rsidR="005F6900" w:rsidRPr="00E413B4" w:rsidRDefault="005F6900" w:rsidP="005F6900">
      <w:pPr>
        <w:pStyle w:val="ListParagraph"/>
        <w:numPr>
          <w:ilvl w:val="0"/>
          <w:numId w:val="34"/>
        </w:numPr>
        <w:jc w:val="both"/>
        <w:rPr>
          <w:lang w:val="en-GB"/>
        </w:rPr>
      </w:pPr>
      <w:r w:rsidRPr="00E413B4">
        <w:rPr>
          <w:lang w:val="en-GB"/>
        </w:rPr>
        <w:t>International Finance Corporation (IFC) - Performance Standards he Environmental and Social Sustainability</w:t>
      </w:r>
    </w:p>
    <w:p w14:paraId="118DEEA8" w14:textId="311796DC" w:rsidR="005F6900" w:rsidRPr="00E413B4" w:rsidRDefault="005F6900" w:rsidP="005F6900">
      <w:pPr>
        <w:pStyle w:val="ListParagraph"/>
        <w:numPr>
          <w:ilvl w:val="0"/>
          <w:numId w:val="34"/>
        </w:numPr>
        <w:jc w:val="both"/>
        <w:rPr>
          <w:lang w:val="en-GB"/>
        </w:rPr>
      </w:pPr>
      <w:r w:rsidRPr="79180EEC">
        <w:rPr>
          <w:lang w:val="en-GB"/>
        </w:rPr>
        <w:t>EIB (European Economic Investment Bank) – Green and Sustainability Funding Guidelines</w:t>
      </w:r>
    </w:p>
    <w:p w14:paraId="0D094D25" w14:textId="77777777" w:rsidR="005F6900" w:rsidRPr="00E413B4" w:rsidRDefault="005F6900" w:rsidP="005F6900">
      <w:pPr>
        <w:rPr>
          <w:lang w:val="en-GB"/>
        </w:rPr>
      </w:pPr>
    </w:p>
    <w:p w14:paraId="38E13B11" w14:textId="77777777" w:rsidR="005F6900" w:rsidRPr="00E413B4" w:rsidRDefault="005F6900" w:rsidP="005F6900">
      <w:pPr>
        <w:pStyle w:val="Heading1"/>
        <w:spacing w:before="0" w:after="0"/>
        <w:rPr>
          <w:rFonts w:asciiTheme="minorHAnsi" w:hAnsiTheme="minorHAnsi" w:cstheme="minorHAnsi"/>
          <w:b/>
          <w:bCs/>
          <w:color w:val="auto"/>
          <w:sz w:val="22"/>
          <w:szCs w:val="22"/>
          <w:lang w:val="en-GB"/>
        </w:rPr>
      </w:pPr>
      <w:bookmarkStart w:id="15" w:name="_Toc195167996"/>
      <w:r w:rsidRPr="00E413B4">
        <w:rPr>
          <w:rFonts w:asciiTheme="minorHAnsi" w:hAnsiTheme="minorHAnsi" w:cstheme="minorHAnsi"/>
          <w:b/>
          <w:bCs/>
          <w:color w:val="auto"/>
          <w:sz w:val="22"/>
          <w:szCs w:val="22"/>
          <w:lang w:val="en-GB"/>
        </w:rPr>
        <w:t>6. Attachments</w:t>
      </w:r>
      <w:bookmarkEnd w:id="15"/>
    </w:p>
    <w:p w14:paraId="0F8577F4" w14:textId="77777777" w:rsidR="00144C17" w:rsidRPr="00E413B4" w:rsidRDefault="00144C17" w:rsidP="005F6900">
      <w:pPr>
        <w:rPr>
          <w:b/>
          <w:lang w:val="en-GB"/>
        </w:rPr>
      </w:pPr>
      <w:bookmarkStart w:id="16" w:name="_Hlk191536376"/>
    </w:p>
    <w:p w14:paraId="0B7913B6" w14:textId="44411312" w:rsidR="005F6900" w:rsidRPr="00E413B4" w:rsidRDefault="005F6900" w:rsidP="005F6900">
      <w:pPr>
        <w:rPr>
          <w:b/>
          <w:lang w:val="en-GB"/>
        </w:rPr>
      </w:pPr>
      <w:r w:rsidRPr="00E413B4">
        <w:rPr>
          <w:b/>
          <w:lang w:val="en-GB"/>
        </w:rPr>
        <w:t>Tools for green business financing:</w:t>
      </w:r>
    </w:p>
    <w:p w14:paraId="3EF5D80D" w14:textId="77777777" w:rsidR="005F6900" w:rsidRPr="00E413B4" w:rsidRDefault="005F6900" w:rsidP="005F6900">
      <w:pPr>
        <w:rPr>
          <w:lang w:val="en-GB"/>
        </w:rPr>
      </w:pPr>
    </w:p>
    <w:p w14:paraId="113989A4" w14:textId="133CF87F" w:rsidR="00E524F9" w:rsidRPr="00E413B4" w:rsidRDefault="00E524F9" w:rsidP="00E524F9">
      <w:pPr>
        <w:pStyle w:val="ListParagraph"/>
        <w:numPr>
          <w:ilvl w:val="0"/>
          <w:numId w:val="21"/>
        </w:numPr>
        <w:jc w:val="both"/>
        <w:rPr>
          <w:lang w:val="en-GB"/>
        </w:rPr>
      </w:pPr>
      <w:bookmarkStart w:id="17" w:name="_Hlk195167914"/>
      <w:bookmarkStart w:id="18" w:name="_Hlk195168194"/>
      <w:bookmarkEnd w:id="16"/>
      <w:r w:rsidRPr="79180EEC">
        <w:rPr>
          <w:lang w:val="en-GB"/>
        </w:rPr>
        <w:t>Examples of good practice in financing with green financial instruments in Serbia</w:t>
      </w:r>
      <w:r w:rsidR="00F04C12" w:rsidRPr="79180EEC">
        <w:rPr>
          <w:lang w:val="en-GB"/>
        </w:rPr>
        <w:t>.</w:t>
      </w:r>
    </w:p>
    <w:p w14:paraId="3F1057AA" w14:textId="05C3C1B8" w:rsidR="00E524F9" w:rsidRPr="00E413B4" w:rsidRDefault="00E524F9" w:rsidP="00F96050">
      <w:pPr>
        <w:pStyle w:val="ListParagraph"/>
        <w:numPr>
          <w:ilvl w:val="0"/>
          <w:numId w:val="21"/>
        </w:numPr>
        <w:jc w:val="both"/>
        <w:rPr>
          <w:lang w:val="en-GB"/>
        </w:rPr>
      </w:pPr>
      <w:r w:rsidRPr="00E413B4">
        <w:rPr>
          <w:lang w:val="en-GB"/>
        </w:rPr>
        <w:t>Overview of sources of financing for SMEs in Serbia.</w:t>
      </w:r>
    </w:p>
    <w:p w14:paraId="54C4D9BA" w14:textId="17DE85C2" w:rsidR="00E524F9" w:rsidRPr="00AD6B57" w:rsidRDefault="00E524F9" w:rsidP="00AD6B57">
      <w:pPr>
        <w:pStyle w:val="ListParagraph"/>
        <w:numPr>
          <w:ilvl w:val="0"/>
          <w:numId w:val="21"/>
        </w:numPr>
        <w:jc w:val="both"/>
        <w:rPr>
          <w:lang w:val="en-GB"/>
        </w:rPr>
      </w:pPr>
      <w:r w:rsidRPr="79180EEC">
        <w:rPr>
          <w:lang w:val="en-GB"/>
        </w:rPr>
        <w:t>Checklist for internal assessment of ESG (Environmental, Social</w:t>
      </w:r>
      <w:r w:rsidR="00AD6B57" w:rsidRPr="79180EEC">
        <w:rPr>
          <w:lang w:val="en-GB"/>
        </w:rPr>
        <w:t xml:space="preserve"> and Governance</w:t>
      </w:r>
      <w:r w:rsidRPr="79180EEC">
        <w:rPr>
          <w:lang w:val="en-GB"/>
        </w:rPr>
        <w:t>) compliance and ​ criteria for green financing</w:t>
      </w:r>
      <w:bookmarkEnd w:id="17"/>
      <w:r w:rsidRPr="79180EEC">
        <w:rPr>
          <w:lang w:val="en-GB"/>
        </w:rPr>
        <w:t>.</w:t>
      </w:r>
      <w:bookmarkEnd w:id="18"/>
    </w:p>
    <w:sectPr w:rsidR="00E524F9" w:rsidRPr="00AD6B57" w:rsidSect="00727819">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D71B" w14:textId="77777777" w:rsidR="003970C0" w:rsidRDefault="003970C0" w:rsidP="008B7759">
      <w:r>
        <w:separator/>
      </w:r>
    </w:p>
  </w:endnote>
  <w:endnote w:type="continuationSeparator" w:id="0">
    <w:p w14:paraId="10FB21E3" w14:textId="77777777" w:rsidR="003970C0" w:rsidRDefault="003970C0"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07656D">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25"/>
      <w:gridCol w:w="4027"/>
    </w:tblGrid>
    <w:tr w:rsidR="0007656D" w14:paraId="3839BA76" w14:textId="77777777" w:rsidTr="0007656D">
      <w:trPr>
        <w:trHeight w:val="997"/>
      </w:trPr>
      <w:tc>
        <w:tcPr>
          <w:tcW w:w="4111" w:type="dxa"/>
          <w:vAlign w:val="center"/>
        </w:tcPr>
        <w:p w14:paraId="5CBBDC1E" w14:textId="77777777" w:rsidR="0007656D" w:rsidRDefault="0007656D" w:rsidP="0007656D">
          <w:pPr>
            <w:pStyle w:val="Footer"/>
            <w:jc w:val="center"/>
          </w:pPr>
          <w:r>
            <w:rPr>
              <w:noProof/>
              <w:color w:val="000080"/>
              <w:sz w:val="14"/>
              <w:lang w:val="sr-Latn-RS" w:eastAsia="sr-Latn-RS"/>
            </w:rPr>
            <w:drawing>
              <wp:inline distT="0" distB="0" distL="0" distR="0" wp14:anchorId="19B31131" wp14:editId="05A753DB">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7F489DDF" wp14:editId="1FDD5F63">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25" w:type="dxa"/>
          <w:vAlign w:val="center"/>
        </w:tcPr>
        <w:p w14:paraId="2DF84CD5" w14:textId="77777777" w:rsidR="0007656D" w:rsidRDefault="0007656D" w:rsidP="0007656D">
          <w:pPr>
            <w:pStyle w:val="Footer"/>
          </w:pPr>
          <w:r>
            <w:rPr>
              <w:noProof/>
              <w:lang w:val="sr-Latn-RS" w:eastAsia="sr-Latn-RS"/>
            </w:rPr>
            <w:drawing>
              <wp:inline distT="0" distB="0" distL="0" distR="0" wp14:anchorId="0AA117AF" wp14:editId="61164952">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29A84A5E" w14:textId="77777777" w:rsidR="0007656D" w:rsidRDefault="0007656D" w:rsidP="0007656D">
          <w:pPr>
            <w:pStyle w:val="Footer"/>
            <w:jc w:val="right"/>
          </w:pPr>
          <w:r>
            <w:rPr>
              <w:noProof/>
              <w:lang w:val="sr-Latn-RS" w:eastAsia="sr-Latn-RS"/>
            </w:rPr>
            <w:drawing>
              <wp:inline distT="0" distB="0" distL="0" distR="0" wp14:anchorId="2F07CA33" wp14:editId="58E4C039">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4780EC5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49DA" w14:textId="77777777" w:rsidR="003970C0" w:rsidRDefault="003970C0" w:rsidP="008B7759">
      <w:r>
        <w:separator/>
      </w:r>
    </w:p>
  </w:footnote>
  <w:footnote w:type="continuationSeparator" w:id="0">
    <w:p w14:paraId="6EB537BB" w14:textId="77777777" w:rsidR="003970C0" w:rsidRDefault="003970C0" w:rsidP="008B7759">
      <w:r>
        <w:continuationSeparator/>
      </w:r>
    </w:p>
  </w:footnote>
  <w:footnote w:id="1">
    <w:p w14:paraId="27F9206E" w14:textId="77777777" w:rsidR="005F6900" w:rsidRDefault="005F6900" w:rsidP="005F6900">
      <w:pPr>
        <w:pStyle w:val="FootnoteText"/>
      </w:pPr>
      <w:bookmarkStart w:id="4" w:name="_Hlk195053548"/>
      <w:r>
        <w:rPr>
          <w:rStyle w:val="FootnoteReference"/>
        </w:rPr>
        <w:footnoteRef/>
      </w:r>
      <w:r>
        <w:rPr>
          <w:lang w:val="sr-Latn-RS"/>
        </w:rPr>
        <w:t xml:space="preserve"> </w:t>
      </w:r>
      <w:r>
        <w:t>Internet sources: https://responsiblebusinesshub.pks.rs/ https://responsiblebusinesshub.pks.rs/odrzivo-poslovanje-i-izvori-zelenog-finansiranja/</w:t>
      </w:r>
    </w:p>
    <w:p w14:paraId="1B5DF56E" w14:textId="77777777" w:rsidR="005F6900" w:rsidRDefault="005F6900" w:rsidP="005F6900">
      <w:pPr>
        <w:pStyle w:val="FootnoteText"/>
      </w:pPr>
      <w:r>
        <w:t>https://greeninitiative.eco/bs/2025/02/05/finansiranje-principa-zelene-budu%C4%87nosti-za-pra%C4%87enje-ulaganja-u-ubla%C5%BEavanje-klimatskih-changes/</w:t>
      </w:r>
    </w:p>
    <w:p w14:paraId="7E9D2BCA" w14:textId="77777777" w:rsidR="005F6900" w:rsidRDefault="005F6900" w:rsidP="005F6900">
      <w:pPr>
        <w:pStyle w:val="FootnoteText"/>
      </w:pPr>
      <w:r>
        <w:t>https://repozitorij.efzg.unizg.hr/islandora/object/</w:t>
      </w:r>
    </w:p>
    <w:p w14:paraId="6EA5D260" w14:textId="77777777" w:rsidR="005F6900" w:rsidRDefault="005F6900" w:rsidP="005F6900">
      <w:pPr>
        <w:pStyle w:val="FootnoteText"/>
      </w:pPr>
      <w:r>
        <w:t>https://alphacapitalis.com/2021/03/11/odrzivo-financiranje-novi-rastuci-trend-na-globalnoj-razini/</w:t>
      </w:r>
    </w:p>
    <w:p w14:paraId="6A849F97" w14:textId="77777777" w:rsidR="005F6900" w:rsidRDefault="005F6900" w:rsidP="005F6900">
      <w:pPr>
        <w:pStyle w:val="FootnoteText"/>
      </w:pPr>
      <w:r>
        <w:t>https://www.economia.rs/zeleno-finansiranje/</w:t>
      </w:r>
    </w:p>
    <w:p w14:paraId="7CEB414A" w14:textId="77777777" w:rsidR="005F6900" w:rsidRPr="00AC37BF" w:rsidRDefault="005F6900" w:rsidP="005F6900">
      <w:pPr>
        <w:pStyle w:val="FootnoteText"/>
        <w:rPr>
          <w:lang w:val="sr-Latn-RS"/>
        </w:rPr>
      </w:pPr>
      <w:r>
        <w:t>https://energetskiportal.rs/sta-predstavla-zeleno-finansiranje-i-za-sta-sve-gradjani-mogu-da-traze-zajmove/</w:t>
      </w:r>
      <w:bookmarkEnd w:id="4"/>
    </w:p>
  </w:footnote>
  <w:footnote w:id="2">
    <w:p w14:paraId="6834A120" w14:textId="77777777" w:rsidR="005F6900" w:rsidRDefault="005F6900" w:rsidP="005F6900">
      <w:pPr>
        <w:pStyle w:val="FootnoteText"/>
      </w:pPr>
      <w:bookmarkStart w:id="5" w:name="_Hlk195053581"/>
      <w:r>
        <w:rPr>
          <w:rStyle w:val="FootnoteReference"/>
        </w:rPr>
        <w:footnoteRef/>
      </w:r>
      <w:r>
        <w:t>Internet sources: https://energetskiportal.rs/zeleno-finansiranje-erste-banka-kao-lider-u-odrzivim-investicijama-i-podrsci-energetskoj-efikasnosti</w:t>
      </w:r>
    </w:p>
    <w:p w14:paraId="46164289" w14:textId="77777777" w:rsidR="005F6900" w:rsidRDefault="005F6900" w:rsidP="005F6900">
      <w:pPr>
        <w:pStyle w:val="FootnoteText"/>
      </w:pPr>
      <w:r>
        <w:t>https://greeninitiative.eco/bs/2025/02/05/finansiranje-principa-zelene-budu%C4%87nosti-za-pra%C4%87enje-ublaganja-u-ubla%C5%BEavanje-klimateskih-change</w:t>
      </w:r>
    </w:p>
    <w:p w14:paraId="5F03498D" w14:textId="77777777" w:rsidR="005F6900" w:rsidRDefault="005F6900" w:rsidP="005F6900">
      <w:pPr>
        <w:pStyle w:val="FootnoteText"/>
      </w:pPr>
      <w:r>
        <w:t>https://www.cbcg.me/contact-us/javnost-rada/blog/zeleno-finansiranje-korak-ka-dobrobiti-drustva-i-planete</w:t>
      </w:r>
    </w:p>
    <w:p w14:paraId="1C298084" w14:textId="77777777" w:rsidR="005F6900" w:rsidRDefault="005F6900" w:rsidP="005F6900">
      <w:pPr>
        <w:pStyle w:val="FootnoteText"/>
      </w:pPr>
      <w:r>
        <w:t>https://sveonovcu.rs/zeleno-finansiranje-stostruki-rast-u-poslednoj-deceniji</w:t>
      </w:r>
    </w:p>
    <w:p w14:paraId="7F33F6B4" w14:textId="77777777" w:rsidR="005F6900" w:rsidRDefault="005F6900" w:rsidP="005F6900">
      <w:pPr>
        <w:pStyle w:val="FootnoteText"/>
      </w:pPr>
      <w:r>
        <w:t>https://balkangreenenergynews.com/rs/vise-novca-i-bolji-uslovi-finansiranja-za-zelene-kompanije</w:t>
      </w:r>
    </w:p>
    <w:p w14:paraId="078C64C9" w14:textId="77777777" w:rsidR="005F6900" w:rsidRPr="00AC37BF" w:rsidRDefault="005F6900" w:rsidP="005F6900">
      <w:pPr>
        <w:pStyle w:val="FootnoteText"/>
        <w:rPr>
          <w:lang w:val="sr-Latn-RS"/>
        </w:rPr>
      </w:pPr>
      <w:r>
        <w:t>https://www.economia.rs/zeleno-finansiranje</w:t>
      </w:r>
    </w:p>
    <w:bookmarkEnd w:id="5"/>
  </w:footnote>
  <w:footnote w:id="3">
    <w:p w14:paraId="30031D35" w14:textId="77777777" w:rsidR="005F6900" w:rsidRDefault="005F6900" w:rsidP="005F6900">
      <w:pPr>
        <w:pStyle w:val="FootnoteText"/>
      </w:pPr>
      <w:r>
        <w:rPr>
          <w:rStyle w:val="FootnoteReference"/>
        </w:rPr>
        <w:footnoteRef/>
      </w:r>
      <w:r>
        <w:t xml:space="preserve"> </w:t>
      </w:r>
      <w:bookmarkStart w:id="6" w:name="_Hlk195053616"/>
      <w:r>
        <w:t>Internet sources: https://www.euzatebe.rs/rs/eu-programi/geff-program-za-zeleno-finansiranje</w:t>
      </w:r>
    </w:p>
    <w:p w14:paraId="028437D9" w14:textId="77777777" w:rsidR="005F6900" w:rsidRDefault="005F6900" w:rsidP="005F6900">
      <w:pPr>
        <w:pStyle w:val="FootnoteText"/>
      </w:pPr>
      <w:r>
        <w:t>https://europa.rs/krediti-za-zeleno-poslovanje-lokalnih-preduzeca</w:t>
      </w:r>
    </w:p>
    <w:p w14:paraId="255F3F26" w14:textId="77777777" w:rsidR="005F6900" w:rsidRDefault="005F6900" w:rsidP="005F6900">
      <w:pPr>
        <w:pStyle w:val="FootnoteText"/>
      </w:pPr>
      <w:r>
        <w:t>https://balkangreenenergynews.com/rs/ggf-odobrio-40-miliona-evra-aik-banci-za-zeleno-finansiranje</w:t>
      </w:r>
    </w:p>
    <w:p w14:paraId="52065AF0" w14:textId="77777777" w:rsidR="005F6900" w:rsidRDefault="005F6900" w:rsidP="005F6900">
      <w:pPr>
        <w:pStyle w:val="FootnoteText"/>
      </w:pPr>
      <w:r>
        <w:t>https://www.undp.org/sr/serbia/news/kako-do-efisknog-finansiranja-zelene-tranzicije-u-srbiji</w:t>
      </w:r>
    </w:p>
    <w:p w14:paraId="58DB9AA1" w14:textId="77777777" w:rsidR="005F6900" w:rsidRDefault="005F6900" w:rsidP="005F6900">
      <w:pPr>
        <w:pStyle w:val="FootnoteText"/>
      </w:pPr>
      <w:r>
        <w:t>https://www.undp.org/sr/serbia/news/dodatnih-49-miliona-dolara-podrske-za-zelenia-srbiju</w:t>
      </w:r>
    </w:p>
    <w:p w14:paraId="7BC7EC79" w14:textId="77777777" w:rsidR="005F6900" w:rsidRDefault="005F6900" w:rsidP="005F6900">
      <w:pPr>
        <w:pStyle w:val="FootnoteText"/>
      </w:pPr>
      <w:r>
        <w:t>https://europa.rs/uspesno-zeleno-poslovanje</w:t>
      </w:r>
    </w:p>
    <w:p w14:paraId="3FC7E3EE" w14:textId="77777777" w:rsidR="005F6900" w:rsidRPr="001B7F6B" w:rsidRDefault="005F6900" w:rsidP="005F6900">
      <w:pPr>
        <w:pStyle w:val="FootnoteText"/>
      </w:pPr>
      <w:r>
        <w:t>https://eumogucnosti.rs/kreditna-linija-za-zeleno-finansiranje-geff-program/</w:t>
      </w:r>
      <w:bookmarkEnd w:id="6"/>
    </w:p>
  </w:footnote>
  <w:footnote w:id="4">
    <w:p w14:paraId="727FF29B" w14:textId="77777777" w:rsidR="005F6900" w:rsidRDefault="005F6900" w:rsidP="005F6900">
      <w:pPr>
        <w:pStyle w:val="FootnoteText"/>
      </w:pPr>
      <w:r>
        <w:rPr>
          <w:rStyle w:val="FootnoteReference"/>
        </w:rPr>
        <w:footnoteRef/>
      </w:r>
      <w:r>
        <w:t xml:space="preserve">European Commission – Sustainable Finance and ESG Disclosures </w:t>
      </w:r>
      <w:hyperlink r:id="rId1" w:history="1">
        <w:r w:rsidRPr="00A14EA2">
          <w:rPr>
            <w:rStyle w:val="Hyperlink"/>
          </w:rPr>
          <w:t>https://finance.ec.europa.eu</w:t>
        </w:r>
      </w:hyperlink>
      <w:r>
        <w:t xml:space="preserve">  </w:t>
      </w:r>
    </w:p>
    <w:p w14:paraId="318B19A6" w14:textId="77777777" w:rsidR="005F6900" w:rsidRDefault="005F6900" w:rsidP="005F6900">
      <w:pPr>
        <w:pStyle w:val="FootnoteText"/>
      </w:pPr>
      <w:r>
        <w:t xml:space="preserve">OECD – Environmental and Social Risk Management for SMEs </w:t>
      </w:r>
      <w:hyperlink r:id="rId2" w:history="1">
        <w:r w:rsidRPr="00A14EA2">
          <w:rPr>
            <w:rStyle w:val="Hyperlink"/>
          </w:rPr>
          <w:t>https://www.oecd.org/sme/</w:t>
        </w:r>
      </w:hyperlink>
      <w:r>
        <w:t xml:space="preserve">  </w:t>
      </w:r>
    </w:p>
    <w:p w14:paraId="4063BA2A" w14:textId="77777777" w:rsidR="005F6900" w:rsidRDefault="005F6900" w:rsidP="005F6900">
      <w:pPr>
        <w:pStyle w:val="FootnoteText"/>
      </w:pPr>
      <w:r>
        <w:t>GIZ / EU4Green – Manuals for green economy and sustainable business for SMEs</w:t>
      </w:r>
    </w:p>
    <w:p w14:paraId="4CE9B453" w14:textId="77777777" w:rsidR="005F6900" w:rsidRDefault="005F6900" w:rsidP="005F6900">
      <w:pPr>
        <w:pStyle w:val="FootnoteText"/>
      </w:pPr>
      <w:r>
        <w:t>UN Global Compact – ESG Reporting for Small Business</w:t>
      </w:r>
    </w:p>
    <w:p w14:paraId="3CB7B08A" w14:textId="77777777" w:rsidR="005F6900" w:rsidRDefault="005F6900" w:rsidP="005F6900">
      <w:pPr>
        <w:pStyle w:val="FootnoteText"/>
      </w:pPr>
      <w:r>
        <w:t>International Finance Corporation (IFC) - Performance Standards he Environmental and Social Sustainability</w:t>
      </w:r>
    </w:p>
    <w:p w14:paraId="6DFC768C" w14:textId="77777777" w:rsidR="005F6900" w:rsidRDefault="005F6900" w:rsidP="005F6900">
      <w:pPr>
        <w:pStyle w:val="FootnoteText"/>
      </w:pPr>
      <w:r>
        <w:t>EIB ( European Economic Investment Bank ) – Green and Sustainability Funding Guidelines</w:t>
      </w:r>
    </w:p>
  </w:footnote>
  <w:footnote w:id="5">
    <w:p w14:paraId="095CBF97" w14:textId="1636CDBB" w:rsidR="005F6900" w:rsidRDefault="005F6900" w:rsidP="005F6900">
      <w:pPr>
        <w:pStyle w:val="FootnoteText"/>
      </w:pPr>
      <w:r>
        <w:rPr>
          <w:rStyle w:val="FootnoteReference"/>
        </w:rPr>
        <w:footnoteRef/>
      </w:r>
      <w:r w:rsidR="79180EEC">
        <w:t xml:space="preserve"> </w:t>
      </w:r>
      <w:bookmarkStart w:id="11" w:name="_Hlk195044934"/>
      <w:r w:rsidR="79180EEC">
        <w:t>European Commission – EU Taxonomy Compass: https://finance.ec.europa.eu/eu-taxonomy-regulation</w:t>
      </w:r>
    </w:p>
    <w:p w14:paraId="462EB888" w14:textId="7D70AB00" w:rsidR="005F6900" w:rsidRDefault="79180EEC" w:rsidP="005F6900">
      <w:pPr>
        <w:pStyle w:val="FootnoteText"/>
      </w:pPr>
      <w:r>
        <w:t>European Commission – Sustainable Finance Action Plan: https://finance.ec.europa.eu/sustainable-finance</w:t>
      </w:r>
    </w:p>
    <w:p w14:paraId="096A077C" w14:textId="77777777" w:rsidR="005F6900" w:rsidRDefault="005F6900" w:rsidP="005F6900">
      <w:pPr>
        <w:pStyle w:val="FootnoteText"/>
      </w:pPr>
      <w:r>
        <w:t>Official Journal of the EU – EU Taxonomy Regulation (2020/852)</w:t>
      </w:r>
    </w:p>
    <w:p w14:paraId="43ADDDDD" w14:textId="77777777" w:rsidR="005F6900" w:rsidRDefault="005F6900" w:rsidP="005F6900">
      <w:pPr>
        <w:pStyle w:val="FootnoteText"/>
      </w:pPr>
      <w:r>
        <w:t>https://eur-lex.europa.eu/legal-content/EN/TXT/?uri=CELEX%3A32020R0852</w:t>
      </w:r>
    </w:p>
    <w:p w14:paraId="00253B82" w14:textId="77777777" w:rsidR="005F6900" w:rsidRDefault="005F6900" w:rsidP="005F6900">
      <w:pPr>
        <w:pStyle w:val="FootnoteText"/>
      </w:pPr>
      <w:r>
        <w:t>European Investment Bank – Green Finance . https://www.eib.org/en/about/priorities/climate-action/index.htm</w:t>
      </w:r>
    </w:p>
    <w:p w14:paraId="2F68A3FF" w14:textId="77777777" w:rsidR="005F6900" w:rsidRDefault="005F6900" w:rsidP="005F6900">
      <w:pPr>
        <w:pStyle w:val="FootnoteText"/>
      </w:pPr>
      <w:r>
        <w:t>OECD – Financing SMEs for Sustainability</w:t>
      </w:r>
    </w:p>
    <w:p w14:paraId="5C684933" w14:textId="77777777" w:rsidR="005F6900" w:rsidRDefault="005F6900" w:rsidP="005F6900">
      <w:pPr>
        <w:pStyle w:val="FootnoteText"/>
      </w:pPr>
      <w:r>
        <w:t>https://www.oecd.org/finance/sustainable-finance-and-smes.htm</w:t>
      </w:r>
    </w:p>
    <w:p w14:paraId="27CD1068" w14:textId="77777777" w:rsidR="005F6900" w:rsidRDefault="005F6900" w:rsidP="005F6900">
      <w:pPr>
        <w:pStyle w:val="FootnoteText"/>
      </w:pPr>
      <w:r>
        <w:t>GIZ / EU4Green / UNDP – Practical manuals and guides for sustainable business and financing in the Western Balkans region</w:t>
      </w:r>
      <w:bookmarkEnd w:id="11"/>
    </w:p>
  </w:footnote>
  <w:footnote w:id="6">
    <w:p w14:paraId="00FB2852" w14:textId="77777777" w:rsidR="005F6900" w:rsidRPr="00B205C7" w:rsidRDefault="005F6900" w:rsidP="005F6900">
      <w:pPr>
        <w:pStyle w:val="FootnoteText"/>
        <w:rPr>
          <w:lang w:val="sr-Latn-RS"/>
        </w:rPr>
      </w:pPr>
      <w:r>
        <w:rPr>
          <w:rStyle w:val="FootnoteReference"/>
        </w:rPr>
        <w:footnoteRef/>
      </w:r>
      <w:r>
        <w:t xml:space="preserve"> </w:t>
      </w:r>
      <w:hyperlink r:id="rId3" w:history="1">
        <w:r w:rsidRPr="00D83A92">
          <w:rPr>
            <w:rStyle w:val="Hyperlink"/>
          </w:rPr>
          <w:t>https://investeu.europa.eu/index_en</w:t>
        </w:r>
      </w:hyperlink>
      <w:r>
        <w:rPr>
          <w:lang w:val="sr-Latn-RS"/>
        </w:rPr>
        <w:t xml:space="preserve"> </w:t>
      </w:r>
    </w:p>
  </w:footnote>
  <w:footnote w:id="7">
    <w:p w14:paraId="3E4690A8" w14:textId="77777777" w:rsidR="005F6900" w:rsidRPr="0089257E" w:rsidRDefault="005F6900" w:rsidP="005F6900">
      <w:pPr>
        <w:pStyle w:val="FootnoteText"/>
        <w:rPr>
          <w:lang w:val="sr-Latn-RS"/>
        </w:rPr>
      </w:pPr>
      <w:r>
        <w:rPr>
          <w:rStyle w:val="FootnoteReference"/>
        </w:rPr>
        <w:footnoteRef/>
      </w:r>
      <w:r>
        <w:t xml:space="preserve"> </w:t>
      </w:r>
      <w:hyperlink r:id="rId4" w:history="1">
        <w:r w:rsidRPr="00D83A92">
          <w:rPr>
            <w:rStyle w:val="Hyperlink"/>
          </w:rPr>
          <w:t>https://ras.gov.rs/kreiraj-zivot/otvoreni-pozivi-konkursi</w:t>
        </w:r>
      </w:hyperlink>
      <w:r>
        <w:t xml:space="preserve"> </w:t>
      </w:r>
    </w:p>
  </w:footnote>
  <w:footnote w:id="8">
    <w:p w14:paraId="34283FB8" w14:textId="77777777" w:rsidR="005F6900" w:rsidRDefault="005F6900" w:rsidP="005F6900">
      <w:pPr>
        <w:pStyle w:val="FootnoteText"/>
      </w:pPr>
      <w:r>
        <w:rPr>
          <w:rStyle w:val="FootnoteReference"/>
        </w:rPr>
        <w:footnoteRef/>
      </w:r>
      <w:r>
        <w:t xml:space="preserve">: </w:t>
      </w:r>
      <w:hyperlink r:id="rId5" w:history="1">
        <w:r w:rsidRPr="00D83A92">
          <w:rPr>
            <w:rStyle w:val="Hyperlink"/>
          </w:rPr>
          <w:t>https://ipa-bgrs.mrrb.bg/en/term/24/node/98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07656D" w14:paraId="398DDB9B" w14:textId="77777777" w:rsidTr="00E542A8">
      <w:trPr>
        <w:trHeight w:val="1567"/>
      </w:trPr>
      <w:tc>
        <w:tcPr>
          <w:tcW w:w="1951" w:type="dxa"/>
          <w:vAlign w:val="center"/>
        </w:tcPr>
        <w:p w14:paraId="6A5D52B0" w14:textId="77777777" w:rsidR="0007656D" w:rsidRDefault="0007656D" w:rsidP="0007656D">
          <w:pPr>
            <w:pStyle w:val="Header"/>
            <w:rPr>
              <w:noProof/>
            </w:rPr>
          </w:pPr>
          <w:r>
            <w:rPr>
              <w:noProof/>
              <w:lang w:val="sr-Latn-RS" w:eastAsia="sr-Latn-RS"/>
            </w:rPr>
            <w:drawing>
              <wp:inline distT="0" distB="0" distL="0" distR="0" wp14:anchorId="122E91D8" wp14:editId="1F9DB85A">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193A141D" w14:textId="77777777" w:rsidR="0007656D" w:rsidRPr="00A25C52" w:rsidRDefault="0007656D" w:rsidP="0007656D">
          <w:pPr>
            <w:pStyle w:val="Header"/>
            <w:rPr>
              <w:b/>
              <w:bCs/>
              <w:noProof/>
              <w:color w:val="008000"/>
              <w:sz w:val="24"/>
              <w:szCs w:val="24"/>
            </w:rPr>
          </w:pPr>
          <w:r w:rsidRPr="00A25C52">
            <w:rPr>
              <w:b/>
              <w:bCs/>
              <w:noProof/>
              <w:color w:val="008000"/>
              <w:sz w:val="24"/>
              <w:szCs w:val="24"/>
            </w:rPr>
            <w:t xml:space="preserve">The Green Way </w:t>
          </w:r>
        </w:p>
        <w:p w14:paraId="64225EC5" w14:textId="77777777" w:rsidR="0007656D" w:rsidRDefault="0007656D" w:rsidP="0007656D">
          <w:pPr>
            <w:pStyle w:val="Header"/>
            <w:rPr>
              <w:noProof/>
            </w:rPr>
          </w:pPr>
          <w:r w:rsidRPr="00A25C52">
            <w:rPr>
              <w:b/>
              <w:bCs/>
              <w:noProof/>
              <w:color w:val="008000"/>
              <w:sz w:val="24"/>
              <w:szCs w:val="24"/>
            </w:rPr>
            <w:t>A Partnership for Green Business</w:t>
          </w:r>
        </w:p>
      </w:tc>
      <w:tc>
        <w:tcPr>
          <w:tcW w:w="4940" w:type="dxa"/>
          <w:vAlign w:val="center"/>
        </w:tcPr>
        <w:p w14:paraId="159A9B4A" w14:textId="77777777" w:rsidR="0007656D" w:rsidRPr="009514D2" w:rsidRDefault="0007656D" w:rsidP="0007656D">
          <w:pPr>
            <w:pStyle w:val="Header"/>
            <w:jc w:val="right"/>
            <w:rPr>
              <w:b/>
              <w:bCs/>
              <w:noProof/>
              <w:color w:val="003399"/>
              <w:sz w:val="36"/>
              <w:szCs w:val="36"/>
            </w:rPr>
          </w:pPr>
          <w:r w:rsidRPr="009514D2">
            <w:rPr>
              <w:b/>
              <w:bCs/>
              <w:noProof/>
              <w:color w:val="003399"/>
              <w:sz w:val="36"/>
              <w:szCs w:val="36"/>
            </w:rPr>
            <w:t>Erasmus+</w:t>
          </w:r>
        </w:p>
        <w:p w14:paraId="674412B0" w14:textId="77777777" w:rsidR="0007656D" w:rsidRDefault="0007656D" w:rsidP="0007656D">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B1EFB"/>
    <w:multiLevelType w:val="hybridMultilevel"/>
    <w:tmpl w:val="8E947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E55B1"/>
    <w:multiLevelType w:val="hybridMultilevel"/>
    <w:tmpl w:val="70280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900822"/>
    <w:multiLevelType w:val="hybridMultilevel"/>
    <w:tmpl w:val="4BF8C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F41B8"/>
    <w:multiLevelType w:val="hybridMultilevel"/>
    <w:tmpl w:val="233061FA"/>
    <w:lvl w:ilvl="0" w:tplc="04090011">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BD283E"/>
    <w:multiLevelType w:val="hybridMultilevel"/>
    <w:tmpl w:val="3654B36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B2801D1"/>
    <w:multiLevelType w:val="hybridMultilevel"/>
    <w:tmpl w:val="97701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73784"/>
    <w:multiLevelType w:val="multilevel"/>
    <w:tmpl w:val="F9A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C6DA4"/>
    <w:multiLevelType w:val="hybridMultilevel"/>
    <w:tmpl w:val="1A1AA9F8"/>
    <w:lvl w:ilvl="0" w:tplc="53F8C4CC">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B9D50D0"/>
    <w:multiLevelType w:val="hybridMultilevel"/>
    <w:tmpl w:val="13C60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A1CA3"/>
    <w:multiLevelType w:val="hybridMultilevel"/>
    <w:tmpl w:val="BF664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E6623"/>
    <w:multiLevelType w:val="hybridMultilevel"/>
    <w:tmpl w:val="D30AD7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2765F4"/>
    <w:multiLevelType w:val="multilevel"/>
    <w:tmpl w:val="BEF0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83F0A"/>
    <w:multiLevelType w:val="hybridMultilevel"/>
    <w:tmpl w:val="69B0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0C0717"/>
    <w:multiLevelType w:val="hybridMultilevel"/>
    <w:tmpl w:val="3B48A1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76486B"/>
    <w:multiLevelType w:val="hybridMultilevel"/>
    <w:tmpl w:val="F4A619A2"/>
    <w:lvl w:ilvl="0" w:tplc="E6F84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D1AEB"/>
    <w:multiLevelType w:val="hybridMultilevel"/>
    <w:tmpl w:val="BD166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8D7B08"/>
    <w:multiLevelType w:val="hybridMultilevel"/>
    <w:tmpl w:val="595EC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124A26"/>
    <w:multiLevelType w:val="hybridMultilevel"/>
    <w:tmpl w:val="A5926BF8"/>
    <w:lvl w:ilvl="0" w:tplc="A372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E3B02"/>
    <w:multiLevelType w:val="hybridMultilevel"/>
    <w:tmpl w:val="EA6E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46DB"/>
    <w:multiLevelType w:val="hybridMultilevel"/>
    <w:tmpl w:val="E4BA6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1B0741"/>
    <w:multiLevelType w:val="hybridMultilevel"/>
    <w:tmpl w:val="34D09256"/>
    <w:lvl w:ilvl="0" w:tplc="FFFFFFFF">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730054"/>
    <w:multiLevelType w:val="multilevel"/>
    <w:tmpl w:val="76F2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82CA5"/>
    <w:multiLevelType w:val="hybridMultilevel"/>
    <w:tmpl w:val="FCAAA8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33C25"/>
    <w:multiLevelType w:val="hybridMultilevel"/>
    <w:tmpl w:val="304E6DEA"/>
    <w:lvl w:ilvl="0" w:tplc="49E09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F6585A"/>
    <w:multiLevelType w:val="multilevel"/>
    <w:tmpl w:val="4ED0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423C4"/>
    <w:multiLevelType w:val="hybridMultilevel"/>
    <w:tmpl w:val="1682FEE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9877AD"/>
    <w:multiLevelType w:val="hybridMultilevel"/>
    <w:tmpl w:val="09321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0612F8"/>
    <w:multiLevelType w:val="hybridMultilevel"/>
    <w:tmpl w:val="AE16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B41CE2"/>
    <w:multiLevelType w:val="hybridMultilevel"/>
    <w:tmpl w:val="A1C6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721AD"/>
    <w:multiLevelType w:val="hybridMultilevel"/>
    <w:tmpl w:val="5B28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2E75CD"/>
    <w:multiLevelType w:val="hybridMultilevel"/>
    <w:tmpl w:val="2D3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129B9"/>
    <w:multiLevelType w:val="hybridMultilevel"/>
    <w:tmpl w:val="D8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64517"/>
    <w:multiLevelType w:val="hybridMultilevel"/>
    <w:tmpl w:val="739A6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FF242B"/>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84032E"/>
    <w:multiLevelType w:val="hybridMultilevel"/>
    <w:tmpl w:val="50868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8B30D1"/>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EA76FA"/>
    <w:multiLevelType w:val="hybridMultilevel"/>
    <w:tmpl w:val="73949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4E7094"/>
    <w:multiLevelType w:val="multilevel"/>
    <w:tmpl w:val="498E4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212A1"/>
    <w:multiLevelType w:val="hybridMultilevel"/>
    <w:tmpl w:val="DA5219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A94316"/>
    <w:multiLevelType w:val="hybridMultilevel"/>
    <w:tmpl w:val="C21C2C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8880726">
    <w:abstractNumId w:val="38"/>
  </w:num>
  <w:num w:numId="2" w16cid:durableId="204219809">
    <w:abstractNumId w:val="0"/>
  </w:num>
  <w:num w:numId="3" w16cid:durableId="280455169">
    <w:abstractNumId w:val="36"/>
  </w:num>
  <w:num w:numId="4" w16cid:durableId="355884551">
    <w:abstractNumId w:val="28"/>
  </w:num>
  <w:num w:numId="5" w16cid:durableId="1118568530">
    <w:abstractNumId w:val="41"/>
  </w:num>
  <w:num w:numId="6" w16cid:durableId="58065308">
    <w:abstractNumId w:val="18"/>
  </w:num>
  <w:num w:numId="7" w16cid:durableId="75786134">
    <w:abstractNumId w:val="39"/>
  </w:num>
  <w:num w:numId="8" w16cid:durableId="284889622">
    <w:abstractNumId w:val="29"/>
  </w:num>
  <w:num w:numId="9" w16cid:durableId="1090273487">
    <w:abstractNumId w:val="44"/>
  </w:num>
  <w:num w:numId="10" w16cid:durableId="862783646">
    <w:abstractNumId w:val="33"/>
  </w:num>
  <w:num w:numId="11" w16cid:durableId="1261258027">
    <w:abstractNumId w:val="34"/>
  </w:num>
  <w:num w:numId="12" w16cid:durableId="224951606">
    <w:abstractNumId w:val="32"/>
  </w:num>
  <w:num w:numId="13" w16cid:durableId="427114986">
    <w:abstractNumId w:val="26"/>
  </w:num>
  <w:num w:numId="14" w16cid:durableId="1309818445">
    <w:abstractNumId w:val="40"/>
  </w:num>
  <w:num w:numId="15" w16cid:durableId="188682825">
    <w:abstractNumId w:val="37"/>
  </w:num>
  <w:num w:numId="16" w16cid:durableId="2050454496">
    <w:abstractNumId w:val="19"/>
  </w:num>
  <w:num w:numId="17" w16cid:durableId="2052535999">
    <w:abstractNumId w:val="8"/>
  </w:num>
  <w:num w:numId="18" w16cid:durableId="1683433051">
    <w:abstractNumId w:val="30"/>
  </w:num>
  <w:num w:numId="19" w16cid:durableId="1276063051">
    <w:abstractNumId w:val="16"/>
  </w:num>
  <w:num w:numId="20" w16cid:durableId="144901560">
    <w:abstractNumId w:val="13"/>
  </w:num>
  <w:num w:numId="21" w16cid:durableId="609168838">
    <w:abstractNumId w:val="20"/>
  </w:num>
  <w:num w:numId="22" w16cid:durableId="228853843">
    <w:abstractNumId w:val="22"/>
  </w:num>
  <w:num w:numId="23" w16cid:durableId="1962491247">
    <w:abstractNumId w:val="4"/>
  </w:num>
  <w:num w:numId="24" w16cid:durableId="842160605">
    <w:abstractNumId w:val="3"/>
  </w:num>
  <w:num w:numId="25" w16cid:durableId="1654331231">
    <w:abstractNumId w:val="17"/>
  </w:num>
  <w:num w:numId="26" w16cid:durableId="166333184">
    <w:abstractNumId w:val="9"/>
  </w:num>
  <w:num w:numId="27" w16cid:durableId="1142693449">
    <w:abstractNumId w:val="2"/>
  </w:num>
  <w:num w:numId="28" w16cid:durableId="33164362">
    <w:abstractNumId w:val="23"/>
  </w:num>
  <w:num w:numId="29" w16cid:durableId="1067190858">
    <w:abstractNumId w:val="31"/>
  </w:num>
  <w:num w:numId="30" w16cid:durableId="1819765216">
    <w:abstractNumId w:val="11"/>
  </w:num>
  <w:num w:numId="31" w16cid:durableId="1159809725">
    <w:abstractNumId w:val="43"/>
  </w:num>
  <w:num w:numId="32" w16cid:durableId="973216512">
    <w:abstractNumId w:val="21"/>
  </w:num>
  <w:num w:numId="33" w16cid:durableId="1741518303">
    <w:abstractNumId w:val="15"/>
  </w:num>
  <w:num w:numId="34" w16cid:durableId="793408427">
    <w:abstractNumId w:val="14"/>
  </w:num>
  <w:num w:numId="35" w16cid:durableId="1445887000">
    <w:abstractNumId w:val="7"/>
  </w:num>
  <w:num w:numId="36" w16cid:durableId="1676806200">
    <w:abstractNumId w:val="1"/>
  </w:num>
  <w:num w:numId="37" w16cid:durableId="803234412">
    <w:abstractNumId w:val="42"/>
  </w:num>
  <w:num w:numId="38" w16cid:durableId="578365473">
    <w:abstractNumId w:val="35"/>
  </w:num>
  <w:num w:numId="39" w16cid:durableId="1254706394">
    <w:abstractNumId w:val="5"/>
  </w:num>
  <w:num w:numId="40" w16cid:durableId="1280257788">
    <w:abstractNumId w:val="6"/>
  </w:num>
  <w:num w:numId="41" w16cid:durableId="1633556859">
    <w:abstractNumId w:val="10"/>
  </w:num>
  <w:num w:numId="42" w16cid:durableId="880630716">
    <w:abstractNumId w:val="25"/>
  </w:num>
  <w:num w:numId="43" w16cid:durableId="1213034421">
    <w:abstractNumId w:val="24"/>
  </w:num>
  <w:num w:numId="44" w16cid:durableId="1044016570">
    <w:abstractNumId w:val="12"/>
  </w:num>
  <w:num w:numId="45" w16cid:durableId="197528650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3D66"/>
    <w:rsid w:val="0001604F"/>
    <w:rsid w:val="00023A21"/>
    <w:rsid w:val="000247AE"/>
    <w:rsid w:val="00027A59"/>
    <w:rsid w:val="0003119D"/>
    <w:rsid w:val="00032011"/>
    <w:rsid w:val="0004137F"/>
    <w:rsid w:val="000415CD"/>
    <w:rsid w:val="000422E2"/>
    <w:rsid w:val="00042A86"/>
    <w:rsid w:val="000518AB"/>
    <w:rsid w:val="00051E65"/>
    <w:rsid w:val="00064CE0"/>
    <w:rsid w:val="00072E46"/>
    <w:rsid w:val="0007464B"/>
    <w:rsid w:val="0007656D"/>
    <w:rsid w:val="00076595"/>
    <w:rsid w:val="00083F4F"/>
    <w:rsid w:val="00084E8C"/>
    <w:rsid w:val="00085F5F"/>
    <w:rsid w:val="000948BA"/>
    <w:rsid w:val="00095201"/>
    <w:rsid w:val="00097BAD"/>
    <w:rsid w:val="000A31CC"/>
    <w:rsid w:val="000B18BC"/>
    <w:rsid w:val="000C029D"/>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2699"/>
    <w:rsid w:val="001247DC"/>
    <w:rsid w:val="00124B75"/>
    <w:rsid w:val="0012618B"/>
    <w:rsid w:val="00127D35"/>
    <w:rsid w:val="001301F7"/>
    <w:rsid w:val="00144C17"/>
    <w:rsid w:val="00147025"/>
    <w:rsid w:val="00150864"/>
    <w:rsid w:val="0015215F"/>
    <w:rsid w:val="001521D8"/>
    <w:rsid w:val="001521F5"/>
    <w:rsid w:val="001531BD"/>
    <w:rsid w:val="00161144"/>
    <w:rsid w:val="001622A1"/>
    <w:rsid w:val="00174C52"/>
    <w:rsid w:val="001837B4"/>
    <w:rsid w:val="001849C6"/>
    <w:rsid w:val="00186090"/>
    <w:rsid w:val="00192446"/>
    <w:rsid w:val="001A0C68"/>
    <w:rsid w:val="001A221D"/>
    <w:rsid w:val="001A2F9C"/>
    <w:rsid w:val="001A5EA9"/>
    <w:rsid w:val="001A74AF"/>
    <w:rsid w:val="001A74C0"/>
    <w:rsid w:val="001B5FE5"/>
    <w:rsid w:val="001B6528"/>
    <w:rsid w:val="001B7D3E"/>
    <w:rsid w:val="001C2E6E"/>
    <w:rsid w:val="001D50E3"/>
    <w:rsid w:val="001D5581"/>
    <w:rsid w:val="001E01FD"/>
    <w:rsid w:val="001E31E0"/>
    <w:rsid w:val="001E3792"/>
    <w:rsid w:val="001E4156"/>
    <w:rsid w:val="001F70AA"/>
    <w:rsid w:val="002005BC"/>
    <w:rsid w:val="00201506"/>
    <w:rsid w:val="00203FD0"/>
    <w:rsid w:val="00207248"/>
    <w:rsid w:val="002139CA"/>
    <w:rsid w:val="0021499C"/>
    <w:rsid w:val="00215E14"/>
    <w:rsid w:val="0021624E"/>
    <w:rsid w:val="002179C7"/>
    <w:rsid w:val="00221B1B"/>
    <w:rsid w:val="0022583F"/>
    <w:rsid w:val="00226801"/>
    <w:rsid w:val="0023094C"/>
    <w:rsid w:val="00233DCB"/>
    <w:rsid w:val="0023555B"/>
    <w:rsid w:val="00247F41"/>
    <w:rsid w:val="00255083"/>
    <w:rsid w:val="00263705"/>
    <w:rsid w:val="00267665"/>
    <w:rsid w:val="00267B2E"/>
    <w:rsid w:val="00270021"/>
    <w:rsid w:val="00270A2C"/>
    <w:rsid w:val="00271AE6"/>
    <w:rsid w:val="0027697B"/>
    <w:rsid w:val="00277F6C"/>
    <w:rsid w:val="002850C9"/>
    <w:rsid w:val="0028626A"/>
    <w:rsid w:val="0029328D"/>
    <w:rsid w:val="00293662"/>
    <w:rsid w:val="0029640C"/>
    <w:rsid w:val="002B1D02"/>
    <w:rsid w:val="002B5C60"/>
    <w:rsid w:val="002B77AA"/>
    <w:rsid w:val="002C508E"/>
    <w:rsid w:val="002C6231"/>
    <w:rsid w:val="002C645C"/>
    <w:rsid w:val="002C7A6D"/>
    <w:rsid w:val="002D0BF6"/>
    <w:rsid w:val="002D14DE"/>
    <w:rsid w:val="002D22CC"/>
    <w:rsid w:val="002D2D7A"/>
    <w:rsid w:val="002D5E4C"/>
    <w:rsid w:val="002D7F4D"/>
    <w:rsid w:val="002E23DE"/>
    <w:rsid w:val="002E3BC1"/>
    <w:rsid w:val="002E64F9"/>
    <w:rsid w:val="002F2115"/>
    <w:rsid w:val="002F7752"/>
    <w:rsid w:val="003009B0"/>
    <w:rsid w:val="0030161C"/>
    <w:rsid w:val="00310E70"/>
    <w:rsid w:val="00313D4E"/>
    <w:rsid w:val="003158B7"/>
    <w:rsid w:val="003161BF"/>
    <w:rsid w:val="00316BAC"/>
    <w:rsid w:val="00320080"/>
    <w:rsid w:val="003222E9"/>
    <w:rsid w:val="00323A9F"/>
    <w:rsid w:val="003259CB"/>
    <w:rsid w:val="00325CE3"/>
    <w:rsid w:val="00326B69"/>
    <w:rsid w:val="0034310C"/>
    <w:rsid w:val="003442AF"/>
    <w:rsid w:val="003455E2"/>
    <w:rsid w:val="00350D36"/>
    <w:rsid w:val="003632EE"/>
    <w:rsid w:val="0036403F"/>
    <w:rsid w:val="003659BA"/>
    <w:rsid w:val="00370B07"/>
    <w:rsid w:val="00371126"/>
    <w:rsid w:val="003741F8"/>
    <w:rsid w:val="003754E6"/>
    <w:rsid w:val="003770E2"/>
    <w:rsid w:val="003806C3"/>
    <w:rsid w:val="00381455"/>
    <w:rsid w:val="00381FEF"/>
    <w:rsid w:val="003857E6"/>
    <w:rsid w:val="00385BAF"/>
    <w:rsid w:val="00386F7B"/>
    <w:rsid w:val="0039054D"/>
    <w:rsid w:val="00393F7F"/>
    <w:rsid w:val="00394335"/>
    <w:rsid w:val="003970C0"/>
    <w:rsid w:val="003A118B"/>
    <w:rsid w:val="003B18A0"/>
    <w:rsid w:val="003B25FF"/>
    <w:rsid w:val="003B4318"/>
    <w:rsid w:val="003B578E"/>
    <w:rsid w:val="003B7F7A"/>
    <w:rsid w:val="003C2B93"/>
    <w:rsid w:val="003C3875"/>
    <w:rsid w:val="003C5024"/>
    <w:rsid w:val="003C6408"/>
    <w:rsid w:val="003D21A7"/>
    <w:rsid w:val="003D4703"/>
    <w:rsid w:val="003E2C00"/>
    <w:rsid w:val="003E39CA"/>
    <w:rsid w:val="003E54A3"/>
    <w:rsid w:val="003F4395"/>
    <w:rsid w:val="003F4554"/>
    <w:rsid w:val="003F52D8"/>
    <w:rsid w:val="003F53EB"/>
    <w:rsid w:val="003F6654"/>
    <w:rsid w:val="00403755"/>
    <w:rsid w:val="004043F1"/>
    <w:rsid w:val="00404C43"/>
    <w:rsid w:val="00404CED"/>
    <w:rsid w:val="004121CD"/>
    <w:rsid w:val="00415CD2"/>
    <w:rsid w:val="00416EE7"/>
    <w:rsid w:val="00417694"/>
    <w:rsid w:val="00424361"/>
    <w:rsid w:val="004321A6"/>
    <w:rsid w:val="00434571"/>
    <w:rsid w:val="00442E38"/>
    <w:rsid w:val="004430E6"/>
    <w:rsid w:val="00453904"/>
    <w:rsid w:val="0045512A"/>
    <w:rsid w:val="00456670"/>
    <w:rsid w:val="00470022"/>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32BC"/>
    <w:rsid w:val="004B6203"/>
    <w:rsid w:val="004C2527"/>
    <w:rsid w:val="004C488A"/>
    <w:rsid w:val="004D1CD7"/>
    <w:rsid w:val="004D392B"/>
    <w:rsid w:val="004D6143"/>
    <w:rsid w:val="004D75A5"/>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6BC4"/>
    <w:rsid w:val="00527CC0"/>
    <w:rsid w:val="00530055"/>
    <w:rsid w:val="00531721"/>
    <w:rsid w:val="00537F98"/>
    <w:rsid w:val="005408AC"/>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4AFE"/>
    <w:rsid w:val="005A5F62"/>
    <w:rsid w:val="005A6BA5"/>
    <w:rsid w:val="005A7C69"/>
    <w:rsid w:val="005B0548"/>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900"/>
    <w:rsid w:val="005F6D58"/>
    <w:rsid w:val="005F6FBD"/>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1475"/>
    <w:rsid w:val="00632F66"/>
    <w:rsid w:val="00633A01"/>
    <w:rsid w:val="0064015C"/>
    <w:rsid w:val="0064074E"/>
    <w:rsid w:val="00640A6E"/>
    <w:rsid w:val="00642437"/>
    <w:rsid w:val="00642E76"/>
    <w:rsid w:val="00645E5C"/>
    <w:rsid w:val="00650E27"/>
    <w:rsid w:val="00666378"/>
    <w:rsid w:val="00673F4F"/>
    <w:rsid w:val="0067602D"/>
    <w:rsid w:val="00686EFA"/>
    <w:rsid w:val="00690359"/>
    <w:rsid w:val="00693869"/>
    <w:rsid w:val="006A0559"/>
    <w:rsid w:val="006A19DA"/>
    <w:rsid w:val="006A66AC"/>
    <w:rsid w:val="006B0A52"/>
    <w:rsid w:val="006B1BBB"/>
    <w:rsid w:val="006C14AD"/>
    <w:rsid w:val="006C573F"/>
    <w:rsid w:val="006D04A6"/>
    <w:rsid w:val="006D482A"/>
    <w:rsid w:val="006D60FF"/>
    <w:rsid w:val="006E4EFE"/>
    <w:rsid w:val="006F2F3A"/>
    <w:rsid w:val="006F315F"/>
    <w:rsid w:val="006F38A2"/>
    <w:rsid w:val="0070079B"/>
    <w:rsid w:val="00704590"/>
    <w:rsid w:val="007048E3"/>
    <w:rsid w:val="007059FC"/>
    <w:rsid w:val="00710D1D"/>
    <w:rsid w:val="00713832"/>
    <w:rsid w:val="00721359"/>
    <w:rsid w:val="00721B2D"/>
    <w:rsid w:val="00723C8A"/>
    <w:rsid w:val="00724598"/>
    <w:rsid w:val="00724951"/>
    <w:rsid w:val="007273C2"/>
    <w:rsid w:val="00727819"/>
    <w:rsid w:val="00733E5A"/>
    <w:rsid w:val="00734FA0"/>
    <w:rsid w:val="00736C55"/>
    <w:rsid w:val="007373CE"/>
    <w:rsid w:val="00740BD2"/>
    <w:rsid w:val="00741F91"/>
    <w:rsid w:val="00743DFB"/>
    <w:rsid w:val="007450D1"/>
    <w:rsid w:val="00746407"/>
    <w:rsid w:val="007560C1"/>
    <w:rsid w:val="007575E4"/>
    <w:rsid w:val="00760E83"/>
    <w:rsid w:val="00761AF7"/>
    <w:rsid w:val="00761F8F"/>
    <w:rsid w:val="0076215A"/>
    <w:rsid w:val="00763A7C"/>
    <w:rsid w:val="00764C04"/>
    <w:rsid w:val="0076614F"/>
    <w:rsid w:val="007700A1"/>
    <w:rsid w:val="007743B7"/>
    <w:rsid w:val="00781623"/>
    <w:rsid w:val="007819B0"/>
    <w:rsid w:val="00782A89"/>
    <w:rsid w:val="00787C68"/>
    <w:rsid w:val="00787F29"/>
    <w:rsid w:val="00794499"/>
    <w:rsid w:val="0079513D"/>
    <w:rsid w:val="007955B1"/>
    <w:rsid w:val="00795D5F"/>
    <w:rsid w:val="007A20B5"/>
    <w:rsid w:val="007A6531"/>
    <w:rsid w:val="007A7E48"/>
    <w:rsid w:val="007B22AB"/>
    <w:rsid w:val="007B5A0C"/>
    <w:rsid w:val="007B7A46"/>
    <w:rsid w:val="007C2B83"/>
    <w:rsid w:val="007C3BA8"/>
    <w:rsid w:val="007C3C69"/>
    <w:rsid w:val="007C3E4F"/>
    <w:rsid w:val="007C422A"/>
    <w:rsid w:val="007C608D"/>
    <w:rsid w:val="007C7AC0"/>
    <w:rsid w:val="007D17EF"/>
    <w:rsid w:val="007D4560"/>
    <w:rsid w:val="007D5C9B"/>
    <w:rsid w:val="007F6C22"/>
    <w:rsid w:val="00801071"/>
    <w:rsid w:val="00803F9D"/>
    <w:rsid w:val="00804EFB"/>
    <w:rsid w:val="00812D6F"/>
    <w:rsid w:val="00813521"/>
    <w:rsid w:val="00813B34"/>
    <w:rsid w:val="00821BB0"/>
    <w:rsid w:val="008228A2"/>
    <w:rsid w:val="008314CD"/>
    <w:rsid w:val="0083396B"/>
    <w:rsid w:val="00836683"/>
    <w:rsid w:val="00842DEB"/>
    <w:rsid w:val="00844DE2"/>
    <w:rsid w:val="008458EA"/>
    <w:rsid w:val="0084620A"/>
    <w:rsid w:val="00851212"/>
    <w:rsid w:val="00852727"/>
    <w:rsid w:val="00852DF8"/>
    <w:rsid w:val="00854325"/>
    <w:rsid w:val="008577C0"/>
    <w:rsid w:val="00862379"/>
    <w:rsid w:val="0086505A"/>
    <w:rsid w:val="00871920"/>
    <w:rsid w:val="0087728B"/>
    <w:rsid w:val="00881541"/>
    <w:rsid w:val="00881A3C"/>
    <w:rsid w:val="00887464"/>
    <w:rsid w:val="0089076E"/>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C6363"/>
    <w:rsid w:val="008E2484"/>
    <w:rsid w:val="008F199F"/>
    <w:rsid w:val="00903663"/>
    <w:rsid w:val="00907376"/>
    <w:rsid w:val="0091117F"/>
    <w:rsid w:val="00912898"/>
    <w:rsid w:val="00913204"/>
    <w:rsid w:val="0091348E"/>
    <w:rsid w:val="00914007"/>
    <w:rsid w:val="00915B17"/>
    <w:rsid w:val="009171D4"/>
    <w:rsid w:val="00920CF9"/>
    <w:rsid w:val="00922EFA"/>
    <w:rsid w:val="0092432A"/>
    <w:rsid w:val="00931BCB"/>
    <w:rsid w:val="00932CC9"/>
    <w:rsid w:val="0093339D"/>
    <w:rsid w:val="00940E90"/>
    <w:rsid w:val="009463F7"/>
    <w:rsid w:val="009514D2"/>
    <w:rsid w:val="009515F1"/>
    <w:rsid w:val="00951975"/>
    <w:rsid w:val="009553AC"/>
    <w:rsid w:val="009578C4"/>
    <w:rsid w:val="0096024B"/>
    <w:rsid w:val="0096296A"/>
    <w:rsid w:val="0096346D"/>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2FC8"/>
    <w:rsid w:val="00995A03"/>
    <w:rsid w:val="009963C3"/>
    <w:rsid w:val="009A1D65"/>
    <w:rsid w:val="009A661E"/>
    <w:rsid w:val="009B18C5"/>
    <w:rsid w:val="009C6751"/>
    <w:rsid w:val="009D1172"/>
    <w:rsid w:val="009D1FEE"/>
    <w:rsid w:val="009D59BB"/>
    <w:rsid w:val="009E0BBD"/>
    <w:rsid w:val="009E7145"/>
    <w:rsid w:val="009E7907"/>
    <w:rsid w:val="009F1E29"/>
    <w:rsid w:val="009F2633"/>
    <w:rsid w:val="009F3244"/>
    <w:rsid w:val="00A02A8B"/>
    <w:rsid w:val="00A02FA8"/>
    <w:rsid w:val="00A03189"/>
    <w:rsid w:val="00A03A06"/>
    <w:rsid w:val="00A05D3A"/>
    <w:rsid w:val="00A079CB"/>
    <w:rsid w:val="00A11605"/>
    <w:rsid w:val="00A1291C"/>
    <w:rsid w:val="00A13433"/>
    <w:rsid w:val="00A139C9"/>
    <w:rsid w:val="00A13C13"/>
    <w:rsid w:val="00A178EB"/>
    <w:rsid w:val="00A214EB"/>
    <w:rsid w:val="00A24398"/>
    <w:rsid w:val="00A24FC9"/>
    <w:rsid w:val="00A25C52"/>
    <w:rsid w:val="00A27879"/>
    <w:rsid w:val="00A30A8F"/>
    <w:rsid w:val="00A34AC4"/>
    <w:rsid w:val="00A35552"/>
    <w:rsid w:val="00A47398"/>
    <w:rsid w:val="00A4764D"/>
    <w:rsid w:val="00A50365"/>
    <w:rsid w:val="00A5436E"/>
    <w:rsid w:val="00A60040"/>
    <w:rsid w:val="00A60CEC"/>
    <w:rsid w:val="00A62240"/>
    <w:rsid w:val="00A63EDB"/>
    <w:rsid w:val="00A64963"/>
    <w:rsid w:val="00A712F1"/>
    <w:rsid w:val="00A738D2"/>
    <w:rsid w:val="00A73A0B"/>
    <w:rsid w:val="00A74BEC"/>
    <w:rsid w:val="00A77FF6"/>
    <w:rsid w:val="00A80A03"/>
    <w:rsid w:val="00A92608"/>
    <w:rsid w:val="00A92AE4"/>
    <w:rsid w:val="00A94188"/>
    <w:rsid w:val="00AA0ED2"/>
    <w:rsid w:val="00AA10F1"/>
    <w:rsid w:val="00AA5AD1"/>
    <w:rsid w:val="00AB4FA7"/>
    <w:rsid w:val="00AC0EEC"/>
    <w:rsid w:val="00AC141D"/>
    <w:rsid w:val="00AC3AA2"/>
    <w:rsid w:val="00AC55DA"/>
    <w:rsid w:val="00AD3518"/>
    <w:rsid w:val="00AD3538"/>
    <w:rsid w:val="00AD5A0F"/>
    <w:rsid w:val="00AD5B4A"/>
    <w:rsid w:val="00AD6745"/>
    <w:rsid w:val="00AD6B57"/>
    <w:rsid w:val="00AE102E"/>
    <w:rsid w:val="00AE1950"/>
    <w:rsid w:val="00AE2DA0"/>
    <w:rsid w:val="00AE319B"/>
    <w:rsid w:val="00AE48B4"/>
    <w:rsid w:val="00AE7C60"/>
    <w:rsid w:val="00AF708F"/>
    <w:rsid w:val="00B0035C"/>
    <w:rsid w:val="00B114C6"/>
    <w:rsid w:val="00B126A5"/>
    <w:rsid w:val="00B14DA2"/>
    <w:rsid w:val="00B3045B"/>
    <w:rsid w:val="00B3454C"/>
    <w:rsid w:val="00B34A89"/>
    <w:rsid w:val="00B36C15"/>
    <w:rsid w:val="00B375ED"/>
    <w:rsid w:val="00B43524"/>
    <w:rsid w:val="00B47467"/>
    <w:rsid w:val="00B5280B"/>
    <w:rsid w:val="00B56DFC"/>
    <w:rsid w:val="00B60E5A"/>
    <w:rsid w:val="00B63A83"/>
    <w:rsid w:val="00B645E6"/>
    <w:rsid w:val="00B65C0F"/>
    <w:rsid w:val="00B6698E"/>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B2D99"/>
    <w:rsid w:val="00BB3DD1"/>
    <w:rsid w:val="00BB6BB2"/>
    <w:rsid w:val="00BC2E65"/>
    <w:rsid w:val="00BC5FF0"/>
    <w:rsid w:val="00BC750F"/>
    <w:rsid w:val="00BD0F67"/>
    <w:rsid w:val="00BD171A"/>
    <w:rsid w:val="00BD248D"/>
    <w:rsid w:val="00BD4D22"/>
    <w:rsid w:val="00BD7415"/>
    <w:rsid w:val="00BD7EEA"/>
    <w:rsid w:val="00BE4159"/>
    <w:rsid w:val="00BE6672"/>
    <w:rsid w:val="00BF328B"/>
    <w:rsid w:val="00BF42E4"/>
    <w:rsid w:val="00C008FA"/>
    <w:rsid w:val="00C026C9"/>
    <w:rsid w:val="00C0382D"/>
    <w:rsid w:val="00C038D8"/>
    <w:rsid w:val="00C068F8"/>
    <w:rsid w:val="00C06B14"/>
    <w:rsid w:val="00C07BAD"/>
    <w:rsid w:val="00C10FF6"/>
    <w:rsid w:val="00C13CD3"/>
    <w:rsid w:val="00C1606E"/>
    <w:rsid w:val="00C169EC"/>
    <w:rsid w:val="00C202AF"/>
    <w:rsid w:val="00C21494"/>
    <w:rsid w:val="00C22269"/>
    <w:rsid w:val="00C2348F"/>
    <w:rsid w:val="00C23800"/>
    <w:rsid w:val="00C23A11"/>
    <w:rsid w:val="00C2729A"/>
    <w:rsid w:val="00C32131"/>
    <w:rsid w:val="00C33805"/>
    <w:rsid w:val="00C34AFA"/>
    <w:rsid w:val="00C35DD2"/>
    <w:rsid w:val="00C410EF"/>
    <w:rsid w:val="00C41AD2"/>
    <w:rsid w:val="00C45538"/>
    <w:rsid w:val="00C514E7"/>
    <w:rsid w:val="00C52D69"/>
    <w:rsid w:val="00C622B9"/>
    <w:rsid w:val="00C815C9"/>
    <w:rsid w:val="00C85410"/>
    <w:rsid w:val="00C85635"/>
    <w:rsid w:val="00C90A86"/>
    <w:rsid w:val="00C90BC1"/>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2BD3"/>
    <w:rsid w:val="00CE4625"/>
    <w:rsid w:val="00CE5269"/>
    <w:rsid w:val="00CE5C42"/>
    <w:rsid w:val="00CE682B"/>
    <w:rsid w:val="00CE6CAF"/>
    <w:rsid w:val="00CF01A5"/>
    <w:rsid w:val="00CF2E18"/>
    <w:rsid w:val="00CF2F80"/>
    <w:rsid w:val="00D02296"/>
    <w:rsid w:val="00D023D0"/>
    <w:rsid w:val="00D04643"/>
    <w:rsid w:val="00D04E9C"/>
    <w:rsid w:val="00D10E73"/>
    <w:rsid w:val="00D126E9"/>
    <w:rsid w:val="00D146A4"/>
    <w:rsid w:val="00D20C2A"/>
    <w:rsid w:val="00D215DC"/>
    <w:rsid w:val="00D21D64"/>
    <w:rsid w:val="00D260E6"/>
    <w:rsid w:val="00D270ED"/>
    <w:rsid w:val="00D374A9"/>
    <w:rsid w:val="00D37D59"/>
    <w:rsid w:val="00D40B70"/>
    <w:rsid w:val="00D5125C"/>
    <w:rsid w:val="00D536A5"/>
    <w:rsid w:val="00D537C9"/>
    <w:rsid w:val="00D577FA"/>
    <w:rsid w:val="00D6019D"/>
    <w:rsid w:val="00D70625"/>
    <w:rsid w:val="00D723E1"/>
    <w:rsid w:val="00D76AF0"/>
    <w:rsid w:val="00D80DF7"/>
    <w:rsid w:val="00D81822"/>
    <w:rsid w:val="00D8406E"/>
    <w:rsid w:val="00D85498"/>
    <w:rsid w:val="00D85D2F"/>
    <w:rsid w:val="00D94D0B"/>
    <w:rsid w:val="00DA23C3"/>
    <w:rsid w:val="00DA77C9"/>
    <w:rsid w:val="00DB2906"/>
    <w:rsid w:val="00DB52DD"/>
    <w:rsid w:val="00DC0246"/>
    <w:rsid w:val="00DC205A"/>
    <w:rsid w:val="00DC4195"/>
    <w:rsid w:val="00DC47E5"/>
    <w:rsid w:val="00DC72CA"/>
    <w:rsid w:val="00DE1FAC"/>
    <w:rsid w:val="00DE4AE4"/>
    <w:rsid w:val="00DE71CC"/>
    <w:rsid w:val="00DF1843"/>
    <w:rsid w:val="00DF4133"/>
    <w:rsid w:val="00DF4EBE"/>
    <w:rsid w:val="00DF534E"/>
    <w:rsid w:val="00DF57DF"/>
    <w:rsid w:val="00E023F6"/>
    <w:rsid w:val="00E05BDD"/>
    <w:rsid w:val="00E1153A"/>
    <w:rsid w:val="00E1356B"/>
    <w:rsid w:val="00E1359D"/>
    <w:rsid w:val="00E16754"/>
    <w:rsid w:val="00E170C2"/>
    <w:rsid w:val="00E2004B"/>
    <w:rsid w:val="00E2017B"/>
    <w:rsid w:val="00E277B0"/>
    <w:rsid w:val="00E330D1"/>
    <w:rsid w:val="00E413B4"/>
    <w:rsid w:val="00E41E4E"/>
    <w:rsid w:val="00E420D3"/>
    <w:rsid w:val="00E42B36"/>
    <w:rsid w:val="00E51FCE"/>
    <w:rsid w:val="00E524F9"/>
    <w:rsid w:val="00E5349B"/>
    <w:rsid w:val="00E544AD"/>
    <w:rsid w:val="00E548A1"/>
    <w:rsid w:val="00E5521D"/>
    <w:rsid w:val="00E56BA7"/>
    <w:rsid w:val="00E7197E"/>
    <w:rsid w:val="00E7271D"/>
    <w:rsid w:val="00E72DCF"/>
    <w:rsid w:val="00E731BD"/>
    <w:rsid w:val="00E74069"/>
    <w:rsid w:val="00E86911"/>
    <w:rsid w:val="00E87F55"/>
    <w:rsid w:val="00E904AA"/>
    <w:rsid w:val="00E9337D"/>
    <w:rsid w:val="00E958C4"/>
    <w:rsid w:val="00E97E96"/>
    <w:rsid w:val="00EA030D"/>
    <w:rsid w:val="00EA3924"/>
    <w:rsid w:val="00EA5495"/>
    <w:rsid w:val="00EA7E74"/>
    <w:rsid w:val="00EB74BB"/>
    <w:rsid w:val="00ED19DC"/>
    <w:rsid w:val="00ED2726"/>
    <w:rsid w:val="00ED40BB"/>
    <w:rsid w:val="00ED593B"/>
    <w:rsid w:val="00EE022F"/>
    <w:rsid w:val="00EE4C63"/>
    <w:rsid w:val="00EF32F4"/>
    <w:rsid w:val="00EF62F1"/>
    <w:rsid w:val="00EF63DB"/>
    <w:rsid w:val="00EF6FCA"/>
    <w:rsid w:val="00F04C12"/>
    <w:rsid w:val="00F0537C"/>
    <w:rsid w:val="00F05BAE"/>
    <w:rsid w:val="00F061B0"/>
    <w:rsid w:val="00F100D9"/>
    <w:rsid w:val="00F11019"/>
    <w:rsid w:val="00F134C1"/>
    <w:rsid w:val="00F13B8C"/>
    <w:rsid w:val="00F141DA"/>
    <w:rsid w:val="00F15696"/>
    <w:rsid w:val="00F15E49"/>
    <w:rsid w:val="00F21B21"/>
    <w:rsid w:val="00F2239F"/>
    <w:rsid w:val="00F240C1"/>
    <w:rsid w:val="00F2551D"/>
    <w:rsid w:val="00F2739A"/>
    <w:rsid w:val="00F37B4C"/>
    <w:rsid w:val="00F41FC9"/>
    <w:rsid w:val="00F42731"/>
    <w:rsid w:val="00F4684A"/>
    <w:rsid w:val="00F50E7D"/>
    <w:rsid w:val="00F60464"/>
    <w:rsid w:val="00F61ECB"/>
    <w:rsid w:val="00F724BE"/>
    <w:rsid w:val="00F725F3"/>
    <w:rsid w:val="00F87780"/>
    <w:rsid w:val="00F87DB6"/>
    <w:rsid w:val="00F90386"/>
    <w:rsid w:val="00F9104B"/>
    <w:rsid w:val="00F917C2"/>
    <w:rsid w:val="00F91BD2"/>
    <w:rsid w:val="00F92783"/>
    <w:rsid w:val="00F92887"/>
    <w:rsid w:val="00F95179"/>
    <w:rsid w:val="00FA28F7"/>
    <w:rsid w:val="00FA56FE"/>
    <w:rsid w:val="00FB0BA4"/>
    <w:rsid w:val="00FB1815"/>
    <w:rsid w:val="00FB6388"/>
    <w:rsid w:val="00FB700E"/>
    <w:rsid w:val="00FC0FBE"/>
    <w:rsid w:val="00FC5BEF"/>
    <w:rsid w:val="00FD4DDA"/>
    <w:rsid w:val="00FD5ADD"/>
    <w:rsid w:val="00FD72E1"/>
    <w:rsid w:val="00FD77D4"/>
    <w:rsid w:val="00FE3BFC"/>
    <w:rsid w:val="00FE3FFF"/>
    <w:rsid w:val="00FE4E03"/>
    <w:rsid w:val="00FE4F8F"/>
    <w:rsid w:val="00FF35C6"/>
    <w:rsid w:val="01030B4A"/>
    <w:rsid w:val="0A64E681"/>
    <w:rsid w:val="0D9B1AD7"/>
    <w:rsid w:val="112F7411"/>
    <w:rsid w:val="16521D0B"/>
    <w:rsid w:val="170A5BF9"/>
    <w:rsid w:val="3157498F"/>
    <w:rsid w:val="35BD0220"/>
    <w:rsid w:val="79180EEC"/>
    <w:rsid w:val="79F3E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 w:type="character" w:customStyle="1" w:styleId="UnresolvedMention30">
    <w:name w:val="Unresolved Mention30"/>
    <w:basedOn w:val="DefaultParagraphFont"/>
    <w:uiPriority w:val="99"/>
    <w:semiHidden/>
    <w:unhideWhenUsed/>
    <w:rsid w:val="00D02296"/>
    <w:rPr>
      <w:color w:val="605E5C"/>
      <w:shd w:val="clear" w:color="auto" w:fill="E1DFDD"/>
    </w:rPr>
  </w:style>
  <w:style w:type="paragraph" w:styleId="TOC3">
    <w:name w:val="toc 3"/>
    <w:basedOn w:val="Normal"/>
    <w:next w:val="Normal"/>
    <w:autoRedefine/>
    <w:uiPriority w:val="39"/>
    <w:unhideWhenUsed/>
    <w:rsid w:val="005F6900"/>
    <w:pPr>
      <w:spacing w:after="100"/>
      <w:ind w:left="440"/>
    </w:pPr>
  </w:style>
  <w:style w:type="paragraph" w:styleId="NoSpacing">
    <w:name w:val="No Spacing"/>
    <w:uiPriority w:val="1"/>
    <w:qFormat/>
    <w:rsid w:val="005F6900"/>
    <w:rPr>
      <w:kern w:val="0"/>
      <w14:ligatures w14:val="none"/>
    </w:rPr>
  </w:style>
  <w:style w:type="paragraph" w:styleId="Revision">
    <w:name w:val="Revision"/>
    <w:hidden/>
    <w:uiPriority w:val="99"/>
    <w:semiHidden/>
    <w:rsid w:val="004B32BC"/>
    <w:rPr>
      <w:kern w:val="0"/>
      <w14:ligatures w14:val="none"/>
    </w:rPr>
  </w:style>
  <w:style w:type="character" w:styleId="CommentReference">
    <w:name w:val="annotation reference"/>
    <w:basedOn w:val="DefaultParagraphFont"/>
    <w:uiPriority w:val="99"/>
    <w:semiHidden/>
    <w:unhideWhenUsed/>
    <w:rsid w:val="005F6FBD"/>
    <w:rPr>
      <w:sz w:val="16"/>
      <w:szCs w:val="16"/>
    </w:rPr>
  </w:style>
  <w:style w:type="paragraph" w:styleId="CommentText">
    <w:name w:val="annotation text"/>
    <w:basedOn w:val="Normal"/>
    <w:link w:val="CommentTextChar"/>
    <w:uiPriority w:val="99"/>
    <w:unhideWhenUsed/>
    <w:rsid w:val="005F6FBD"/>
    <w:rPr>
      <w:sz w:val="20"/>
      <w:szCs w:val="20"/>
    </w:rPr>
  </w:style>
  <w:style w:type="character" w:customStyle="1" w:styleId="CommentTextChar">
    <w:name w:val="Comment Text Char"/>
    <w:basedOn w:val="DefaultParagraphFont"/>
    <w:link w:val="CommentText"/>
    <w:uiPriority w:val="99"/>
    <w:rsid w:val="005F6FB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6FBD"/>
    <w:rPr>
      <w:b/>
      <w:bCs/>
    </w:rPr>
  </w:style>
  <w:style w:type="character" w:customStyle="1" w:styleId="CommentSubjectChar">
    <w:name w:val="Comment Subject Char"/>
    <w:basedOn w:val="CommentTextChar"/>
    <w:link w:val="CommentSubject"/>
    <w:uiPriority w:val="99"/>
    <w:semiHidden/>
    <w:rsid w:val="005F6FBD"/>
    <w:rPr>
      <w:b/>
      <w:bCs/>
      <w:kern w:val="0"/>
      <w:sz w:val="20"/>
      <w:szCs w:val="20"/>
      <w14:ligatures w14:val="none"/>
    </w:rPr>
  </w:style>
  <w:style w:type="character" w:customStyle="1" w:styleId="normaltextrun">
    <w:name w:val="normaltextrun"/>
    <w:basedOn w:val="DefaultParagraphFont"/>
    <w:rsid w:val="0047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duzetnistvo.gov.rs/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duzetnistvo.gov.rs/programi-podrske/"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investeu.europa.eu/index_en" TargetMode="External"/><Relationship Id="rId2" Type="http://schemas.openxmlformats.org/officeDocument/2006/relationships/hyperlink" Target="https://www.oecd.org/sme/" TargetMode="External"/><Relationship Id="rId1" Type="http://schemas.openxmlformats.org/officeDocument/2006/relationships/hyperlink" Target="https://finance.ec.europa.eu" TargetMode="External"/><Relationship Id="rId5" Type="http://schemas.openxmlformats.org/officeDocument/2006/relationships/hyperlink" Target="https://ipa-bgrs.mrrb.bg/en/term/24/node/98" TargetMode="External"/><Relationship Id="rId4" Type="http://schemas.openxmlformats.org/officeDocument/2006/relationships/hyperlink" Target="https://ras.gov.rs/kreiraj-zivot/otvoreni-pozivi-konkur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
      <w:docPartPr>
        <w:name w:val="CEE20E2408C34CB0BB785ABBA45A9AB5"/>
        <w:category>
          <w:name w:val="Opšte"/>
          <w:gallery w:val="placeholder"/>
        </w:category>
        <w:types>
          <w:type w:val="bbPlcHdr"/>
        </w:types>
        <w:behaviors>
          <w:behavior w:val="content"/>
        </w:behaviors>
        <w:guid w:val="{CF0D1549-0DD6-496E-A969-DCB62F7718B2}"/>
      </w:docPartPr>
      <w:docPartBody>
        <w:p w:rsidR="00104F8E" w:rsidRDefault="00822A76" w:rsidP="00822A76">
          <w:pPr>
            <w:pStyle w:val="CEE20E2408C34CB0BB785ABBA45A9AB5"/>
          </w:pPr>
          <w:r w:rsidRPr="003516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748A5"/>
    <w:rsid w:val="000834E3"/>
    <w:rsid w:val="00090C24"/>
    <w:rsid w:val="000A3D24"/>
    <w:rsid w:val="000B18BC"/>
    <w:rsid w:val="000C6560"/>
    <w:rsid w:val="000E2F62"/>
    <w:rsid w:val="00104F8E"/>
    <w:rsid w:val="001301F7"/>
    <w:rsid w:val="0015172F"/>
    <w:rsid w:val="001837B4"/>
    <w:rsid w:val="001A5373"/>
    <w:rsid w:val="001A6BDF"/>
    <w:rsid w:val="001E033A"/>
    <w:rsid w:val="00200518"/>
    <w:rsid w:val="00203FD0"/>
    <w:rsid w:val="0021624E"/>
    <w:rsid w:val="0022206F"/>
    <w:rsid w:val="00263705"/>
    <w:rsid w:val="00272C49"/>
    <w:rsid w:val="002736D2"/>
    <w:rsid w:val="00285A9A"/>
    <w:rsid w:val="002B1A8C"/>
    <w:rsid w:val="002C7A6D"/>
    <w:rsid w:val="002D22CC"/>
    <w:rsid w:val="002E7ED8"/>
    <w:rsid w:val="003009B0"/>
    <w:rsid w:val="003150F5"/>
    <w:rsid w:val="0032218B"/>
    <w:rsid w:val="00331617"/>
    <w:rsid w:val="003659BA"/>
    <w:rsid w:val="00367ABA"/>
    <w:rsid w:val="00392DC5"/>
    <w:rsid w:val="00395CBB"/>
    <w:rsid w:val="003E2C00"/>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61F8F"/>
    <w:rsid w:val="0076614F"/>
    <w:rsid w:val="00782A89"/>
    <w:rsid w:val="007B5A0C"/>
    <w:rsid w:val="007C2B83"/>
    <w:rsid w:val="007C3BA8"/>
    <w:rsid w:val="007C422A"/>
    <w:rsid w:val="007C623E"/>
    <w:rsid w:val="007D6770"/>
    <w:rsid w:val="008037A8"/>
    <w:rsid w:val="00822A76"/>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9F33BA"/>
    <w:rsid w:val="00A1728F"/>
    <w:rsid w:val="00A4008C"/>
    <w:rsid w:val="00A50A52"/>
    <w:rsid w:val="00A62DCC"/>
    <w:rsid w:val="00A64278"/>
    <w:rsid w:val="00A73B14"/>
    <w:rsid w:val="00A86B18"/>
    <w:rsid w:val="00A9515B"/>
    <w:rsid w:val="00A97703"/>
    <w:rsid w:val="00AD064C"/>
    <w:rsid w:val="00AF7193"/>
    <w:rsid w:val="00B2030A"/>
    <w:rsid w:val="00B2035F"/>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4625"/>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141DA"/>
    <w:rsid w:val="00F34C07"/>
    <w:rsid w:val="00F645CB"/>
    <w:rsid w:val="00F66B43"/>
    <w:rsid w:val="00F93E18"/>
    <w:rsid w:val="00FB3D82"/>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A76"/>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CEE20E2408C34CB0BB785ABBA45A9AB5">
    <w:name w:val="CEE20E2408C34CB0BB785ABBA45A9AB5"/>
    <w:rsid w:val="00822A76"/>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876F-176D-40AA-A0AB-2D05E800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6527</Words>
  <Characters>37205</Characters>
  <Application>Microsoft Office Word</Application>
  <DocSecurity>0</DocSecurity>
  <Lines>310</Lines>
  <Paragraphs>87</Paragraphs>
  <ScaleCrop>false</ScaleCrop>
  <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111</cp:revision>
  <cp:lastPrinted>2025-01-02T09:22:00Z</cp:lastPrinted>
  <dcterms:created xsi:type="dcterms:W3CDTF">2025-07-17T12:50:00Z</dcterms:created>
  <dcterms:modified xsi:type="dcterms:W3CDTF">2025-07-23T11:33:00Z</dcterms:modified>
</cp:coreProperties>
</file>